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C7D8B" w14:textId="75A9384E" w:rsidR="00AE7B5B" w:rsidRPr="007B78C1" w:rsidRDefault="00236608" w:rsidP="00AE7B5B">
      <w:pPr>
        <w:pStyle w:val="Default"/>
        <w:jc w:val="center"/>
        <w:rPr>
          <w:b/>
          <w:color w:val="auto"/>
          <w:u w:val="single"/>
        </w:rPr>
      </w:pPr>
      <w:r w:rsidRPr="007B78C1">
        <w:rPr>
          <w:b/>
          <w:color w:val="auto"/>
        </w:rPr>
        <w:t xml:space="preserve">Template for the </w:t>
      </w:r>
      <w:r w:rsidR="009C30DA" w:rsidRPr="007B78C1">
        <w:rPr>
          <w:rFonts w:eastAsiaTheme="minorEastAsia"/>
          <w:b/>
          <w:bCs/>
          <w:color w:val="auto"/>
          <w:lang w:eastAsia="ja-JP"/>
        </w:rPr>
        <w:t>Advanced Comments on</w:t>
      </w:r>
      <w:r w:rsidR="00AE7B5B" w:rsidRPr="007B78C1">
        <w:rPr>
          <w:rFonts w:eastAsiaTheme="minorEastAsia"/>
          <w:b/>
          <w:bCs/>
          <w:color w:val="auto"/>
          <w:lang w:eastAsia="ja-JP"/>
        </w:rPr>
        <w:t xml:space="preserve"> Draft Documents on Planning, Reporting and Review Mechanisms for the Resumed Session of the Third Meeting of the Subsidiary Body on Implementation</w:t>
      </w:r>
    </w:p>
    <w:p w14:paraId="7920C59F" w14:textId="1DA8F1CC" w:rsidR="00236608" w:rsidRPr="007B78C1" w:rsidRDefault="00236608" w:rsidP="00AE7B5B">
      <w:pPr>
        <w:jc w:val="center"/>
        <w:rPr>
          <w:b/>
        </w:rPr>
      </w:pPr>
    </w:p>
    <w:p w14:paraId="34B17942" w14:textId="6E493602" w:rsidR="00236608" w:rsidRPr="007B78C1" w:rsidRDefault="00236608" w:rsidP="00D3167F">
      <w:pPr>
        <w:pStyle w:val="Default"/>
        <w:jc w:val="center"/>
        <w:rPr>
          <w:b/>
          <w:color w:val="auto"/>
          <w:u w:val="single"/>
        </w:rPr>
      </w:pPr>
      <w:r w:rsidRPr="007B78C1">
        <w:rPr>
          <w:b/>
          <w:color w:val="auto"/>
          <w:u w:val="single"/>
        </w:rPr>
        <w:t>TEMPLATE FOR COMMENTS</w:t>
      </w:r>
      <w:r w:rsidR="009A6B72" w:rsidRPr="007B78C1">
        <w:rPr>
          <w:b/>
          <w:color w:val="auto"/>
          <w:u w:val="single"/>
        </w:rPr>
        <w:t xml:space="preserve">: </w:t>
      </w:r>
      <w:r w:rsidR="00DC44E4" w:rsidRPr="007B78C1">
        <w:rPr>
          <w:b/>
          <w:color w:val="auto"/>
          <w:u w:val="single"/>
        </w:rPr>
        <w:t>Draft g</w:t>
      </w:r>
      <w:r w:rsidR="00E2476B" w:rsidRPr="007B78C1">
        <w:rPr>
          <w:b/>
          <w:color w:val="auto"/>
          <w:u w:val="single"/>
        </w:rPr>
        <w:t xml:space="preserve">uidance for </w:t>
      </w:r>
      <w:r w:rsidR="000B252D" w:rsidRPr="007B78C1">
        <w:rPr>
          <w:b/>
          <w:color w:val="auto"/>
          <w:u w:val="single"/>
        </w:rPr>
        <w:t xml:space="preserve">capturing commitments from actors other than national governments in the context of enhanced planning, monitoring, </w:t>
      </w:r>
      <w:proofErr w:type="gramStart"/>
      <w:r w:rsidR="000B252D" w:rsidRPr="007B78C1">
        <w:rPr>
          <w:b/>
          <w:color w:val="auto"/>
          <w:u w:val="single"/>
        </w:rPr>
        <w:t>reporting</w:t>
      </w:r>
      <w:proofErr w:type="gramEnd"/>
      <w:r w:rsidR="000B252D" w:rsidRPr="007B78C1">
        <w:rPr>
          <w:b/>
          <w:color w:val="auto"/>
          <w:u w:val="single"/>
        </w:rPr>
        <w:t xml:space="preserve"> and reviewing mechanisms </w:t>
      </w:r>
      <w:r w:rsidR="009A6B72" w:rsidRPr="007B78C1">
        <w:rPr>
          <w:b/>
          <w:color w:val="auto"/>
          <w:u w:val="single"/>
        </w:rPr>
        <w:t>contained in CBD/SBI/3/11/ADD</w:t>
      </w:r>
      <w:r w:rsidR="00DC44E4" w:rsidRPr="007B78C1">
        <w:rPr>
          <w:b/>
          <w:color w:val="auto"/>
          <w:u w:val="single"/>
        </w:rPr>
        <w:t xml:space="preserve"> </w:t>
      </w:r>
      <w:r w:rsidR="000B252D" w:rsidRPr="007B78C1">
        <w:rPr>
          <w:b/>
          <w:color w:val="auto"/>
          <w:u w:val="single"/>
        </w:rPr>
        <w:t>6</w:t>
      </w:r>
    </w:p>
    <w:p w14:paraId="17859718" w14:textId="77777777" w:rsidR="00236608" w:rsidRPr="007B78C1" w:rsidRDefault="00236608" w:rsidP="006C085B">
      <w:pPr>
        <w:pStyle w:val="Default"/>
        <w:spacing w:before="60"/>
        <w:jc w:val="center"/>
        <w:rPr>
          <w:b/>
          <w:color w:val="auto"/>
          <w:u w:val="singl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3"/>
        <w:gridCol w:w="5402"/>
      </w:tblGrid>
      <w:tr w:rsidR="007B78C1" w:rsidRPr="007B78C1" w14:paraId="1FFC346E" w14:textId="77777777" w:rsidTr="007B78C1">
        <w:trPr>
          <w:trHeight w:val="737"/>
        </w:trPr>
        <w:tc>
          <w:tcPr>
            <w:tcW w:w="9535" w:type="dxa"/>
            <w:gridSpan w:val="2"/>
            <w:vAlign w:val="center"/>
          </w:tcPr>
          <w:p w14:paraId="7B023D72" w14:textId="32B9BE0D" w:rsidR="00236608" w:rsidRPr="007B78C1" w:rsidRDefault="009C30DA" w:rsidP="00AE7B5B">
            <w:pPr>
              <w:pStyle w:val="Default"/>
              <w:jc w:val="center"/>
              <w:rPr>
                <w:b/>
                <w:color w:val="auto"/>
              </w:rPr>
            </w:pPr>
            <w:r w:rsidRPr="007B78C1">
              <w:rPr>
                <w:b/>
                <w:color w:val="auto"/>
              </w:rPr>
              <w:t xml:space="preserve">Advanced </w:t>
            </w:r>
            <w:r w:rsidR="00236608" w:rsidRPr="007B78C1">
              <w:rPr>
                <w:b/>
                <w:color w:val="auto"/>
              </w:rPr>
              <w:t xml:space="preserve">comments on </w:t>
            </w:r>
            <w:r w:rsidR="00AE7B5B" w:rsidRPr="007B78C1">
              <w:rPr>
                <w:b/>
                <w:color w:val="auto"/>
              </w:rPr>
              <w:t>the</w:t>
            </w:r>
            <w:r w:rsidR="00AE7B5B" w:rsidRPr="007B78C1">
              <w:rPr>
                <w:rFonts w:eastAsiaTheme="minorEastAsia"/>
                <w:b/>
                <w:bCs/>
                <w:color w:val="auto"/>
                <w:lang w:eastAsia="ja-JP"/>
              </w:rPr>
              <w:t xml:space="preserve"> draft documents on Planning, Reporting and Review Mechanisms for the Resumed Session of the Third Meeting of the Subsidiary Body on Implementation</w:t>
            </w:r>
          </w:p>
        </w:tc>
      </w:tr>
      <w:tr w:rsidR="007B78C1" w:rsidRPr="007B78C1" w14:paraId="19F85FA6" w14:textId="77777777" w:rsidTr="007B78C1">
        <w:trPr>
          <w:trHeight w:val="270"/>
        </w:trPr>
        <w:tc>
          <w:tcPr>
            <w:tcW w:w="4133" w:type="dxa"/>
          </w:tcPr>
          <w:p w14:paraId="06F5B580" w14:textId="4C916EB4" w:rsidR="00AF4AD0" w:rsidRPr="007B78C1" w:rsidRDefault="00414EDF" w:rsidP="009A6B72">
            <w:pPr>
              <w:pStyle w:val="Form"/>
              <w:rPr>
                <w:rFonts w:ascii="Times New Roman" w:hAnsi="Times New Roman" w:cs="Times New Roman"/>
                <w:b/>
                <w:sz w:val="24"/>
              </w:rPr>
            </w:pPr>
            <w:r w:rsidRPr="007B78C1">
              <w:rPr>
                <w:rFonts w:ascii="Times New Roman" w:hAnsi="Times New Roman" w:cs="Times New Roman"/>
                <w:b/>
                <w:sz w:val="24"/>
              </w:rPr>
              <w:t>Scope of this template for comments</w:t>
            </w:r>
            <w:r w:rsidR="009A6B72" w:rsidRPr="007B78C1">
              <w:rPr>
                <w:rFonts w:ascii="Times New Roman" w:hAnsi="Times New Roman" w:cs="Times New Roman"/>
                <w:b/>
                <w:sz w:val="24"/>
              </w:rPr>
              <w:t xml:space="preserve"> </w:t>
            </w:r>
          </w:p>
        </w:tc>
        <w:tc>
          <w:tcPr>
            <w:tcW w:w="5402" w:type="dxa"/>
          </w:tcPr>
          <w:p w14:paraId="1B40A4A0" w14:textId="6884A3CF" w:rsidR="00AF4AD0" w:rsidRPr="007B78C1" w:rsidRDefault="00DC44E4" w:rsidP="000B252D">
            <w:r w:rsidRPr="007B78C1">
              <w:t>Draft guidance for</w:t>
            </w:r>
            <w:r w:rsidR="000B252D" w:rsidRPr="007B78C1">
              <w:t xml:space="preserve"> capturing commitments from actors other than national governments in the context of enhanced planning, monitoring, </w:t>
            </w:r>
            <w:proofErr w:type="gramStart"/>
            <w:r w:rsidR="000B252D" w:rsidRPr="007B78C1">
              <w:t>reporting</w:t>
            </w:r>
            <w:proofErr w:type="gramEnd"/>
            <w:r w:rsidR="000B252D" w:rsidRPr="007B78C1">
              <w:t xml:space="preserve"> and reviewing mechanisms </w:t>
            </w:r>
            <w:r w:rsidRPr="007B78C1">
              <w:t>contained in the document CBD/SBI/3/11/Add.</w:t>
            </w:r>
            <w:r w:rsidR="000B252D" w:rsidRPr="007B78C1">
              <w:t>6</w:t>
            </w:r>
            <w:r w:rsidRPr="007B78C1">
              <w:t>, w</w:t>
            </w:r>
            <w:r w:rsidR="00385D8C" w:rsidRPr="007B78C1">
              <w:t>hich includes a draft of</w:t>
            </w:r>
            <w:r w:rsidR="00757EBE" w:rsidRPr="007B78C1">
              <w:t xml:space="preserve"> </w:t>
            </w:r>
            <w:r w:rsidRPr="007B78C1">
              <w:t xml:space="preserve">Annex </w:t>
            </w:r>
            <w:r w:rsidR="000B252D" w:rsidRPr="007B78C1">
              <w:t>B</w:t>
            </w:r>
            <w:r w:rsidR="00FF1E02" w:rsidRPr="007B78C1">
              <w:t xml:space="preserve"> to CBD/SBI/3/CRP.5.</w:t>
            </w:r>
            <w:r w:rsidRPr="007B78C1">
              <w:t xml:space="preserve"> </w:t>
            </w:r>
            <w:r w:rsidR="00414EDF" w:rsidRPr="007B78C1">
              <w:t xml:space="preserve">This template aims to collect feedback on that Annex. </w:t>
            </w:r>
          </w:p>
        </w:tc>
      </w:tr>
      <w:tr w:rsidR="007B78C1" w:rsidRPr="007B78C1" w14:paraId="6598FBAB" w14:textId="77777777" w:rsidTr="007B78C1">
        <w:trPr>
          <w:trHeight w:val="449"/>
        </w:trPr>
        <w:tc>
          <w:tcPr>
            <w:tcW w:w="9535" w:type="dxa"/>
            <w:gridSpan w:val="2"/>
            <w:shd w:val="clear" w:color="auto" w:fill="C0C0C0"/>
            <w:vAlign w:val="center"/>
          </w:tcPr>
          <w:p w14:paraId="297416BC" w14:textId="77777777" w:rsidR="00236608" w:rsidRPr="007B78C1" w:rsidRDefault="00236608" w:rsidP="00AE7B5B">
            <w:pPr>
              <w:jc w:val="center"/>
              <w:rPr>
                <w:b/>
                <w:bCs/>
                <w:i/>
              </w:rPr>
            </w:pPr>
            <w:r w:rsidRPr="007B78C1">
              <w:rPr>
                <w:b/>
                <w:bCs/>
                <w:i/>
              </w:rPr>
              <w:t>Contact information</w:t>
            </w:r>
          </w:p>
        </w:tc>
      </w:tr>
      <w:tr w:rsidR="007B78C1" w:rsidRPr="007B78C1" w14:paraId="212CCDF4" w14:textId="77777777" w:rsidTr="007B78C1">
        <w:trPr>
          <w:trHeight w:val="270"/>
        </w:trPr>
        <w:tc>
          <w:tcPr>
            <w:tcW w:w="4133" w:type="dxa"/>
          </w:tcPr>
          <w:p w14:paraId="13CBB394" w14:textId="77777777" w:rsidR="00236608" w:rsidRPr="007B78C1" w:rsidRDefault="00236608" w:rsidP="009A6B72">
            <w:pPr>
              <w:pStyle w:val="Form"/>
              <w:rPr>
                <w:rFonts w:ascii="Times New Roman" w:hAnsi="Times New Roman" w:cs="Times New Roman"/>
                <w:b/>
                <w:sz w:val="24"/>
              </w:rPr>
            </w:pPr>
            <w:r w:rsidRPr="007B78C1">
              <w:rPr>
                <w:rFonts w:ascii="Times New Roman" w:hAnsi="Times New Roman" w:cs="Times New Roman"/>
                <w:b/>
                <w:sz w:val="24"/>
              </w:rPr>
              <w:t>Surname:</w:t>
            </w:r>
          </w:p>
        </w:tc>
        <w:tc>
          <w:tcPr>
            <w:tcW w:w="5402" w:type="dxa"/>
          </w:tcPr>
          <w:p w14:paraId="08B4F522" w14:textId="58F93643" w:rsidR="00236608" w:rsidRPr="007B78C1" w:rsidRDefault="008D7856" w:rsidP="009A6B72">
            <w:r w:rsidRPr="007B78C1">
              <w:t>Ofosuhene-Wise</w:t>
            </w:r>
          </w:p>
        </w:tc>
      </w:tr>
      <w:tr w:rsidR="007B78C1" w:rsidRPr="007B78C1" w14:paraId="70478EC8" w14:textId="77777777" w:rsidTr="007B78C1">
        <w:trPr>
          <w:trHeight w:val="270"/>
        </w:trPr>
        <w:tc>
          <w:tcPr>
            <w:tcW w:w="4133" w:type="dxa"/>
          </w:tcPr>
          <w:p w14:paraId="4EE5D0BF" w14:textId="77777777" w:rsidR="00236608" w:rsidRPr="007B78C1" w:rsidRDefault="00236608" w:rsidP="009A6B72">
            <w:pPr>
              <w:pStyle w:val="Form"/>
              <w:rPr>
                <w:rFonts w:ascii="Times New Roman" w:hAnsi="Times New Roman" w:cs="Times New Roman"/>
                <w:b/>
                <w:sz w:val="24"/>
              </w:rPr>
            </w:pPr>
            <w:r w:rsidRPr="007B78C1">
              <w:rPr>
                <w:rFonts w:ascii="Times New Roman" w:hAnsi="Times New Roman" w:cs="Times New Roman"/>
                <w:b/>
                <w:sz w:val="24"/>
              </w:rPr>
              <w:t>Given Name:</w:t>
            </w:r>
          </w:p>
        </w:tc>
        <w:tc>
          <w:tcPr>
            <w:tcW w:w="5402" w:type="dxa"/>
          </w:tcPr>
          <w:p w14:paraId="618617AF" w14:textId="574CF510" w:rsidR="00236608" w:rsidRPr="007B78C1" w:rsidRDefault="008D7856" w:rsidP="009A6B72">
            <w:r w:rsidRPr="007B78C1">
              <w:t xml:space="preserve">Michael </w:t>
            </w:r>
          </w:p>
        </w:tc>
      </w:tr>
      <w:tr w:rsidR="007B78C1" w:rsidRPr="007B78C1" w14:paraId="60004B01" w14:textId="77777777" w:rsidTr="007B78C1">
        <w:trPr>
          <w:trHeight w:val="280"/>
        </w:trPr>
        <w:tc>
          <w:tcPr>
            <w:tcW w:w="4133" w:type="dxa"/>
          </w:tcPr>
          <w:p w14:paraId="043D7251" w14:textId="77777777" w:rsidR="00236608" w:rsidRPr="007B78C1" w:rsidRDefault="00236608" w:rsidP="009A6B72">
            <w:pPr>
              <w:pStyle w:val="Form"/>
              <w:rPr>
                <w:rFonts w:ascii="Times New Roman" w:hAnsi="Times New Roman" w:cs="Times New Roman"/>
                <w:b/>
                <w:sz w:val="24"/>
              </w:rPr>
            </w:pPr>
            <w:r w:rsidRPr="007B78C1">
              <w:rPr>
                <w:rFonts w:ascii="Times New Roman" w:hAnsi="Times New Roman" w:cs="Times New Roman"/>
                <w:b/>
                <w:sz w:val="24"/>
              </w:rPr>
              <w:t xml:space="preserve">Government </w:t>
            </w:r>
            <w:r w:rsidRPr="007B78C1">
              <w:rPr>
                <w:rFonts w:ascii="Times New Roman" w:hAnsi="Times New Roman" w:cs="Times New Roman"/>
                <w:sz w:val="24"/>
              </w:rPr>
              <w:t>(if applicable)</w:t>
            </w:r>
            <w:r w:rsidRPr="007B78C1">
              <w:rPr>
                <w:rFonts w:ascii="Times New Roman" w:hAnsi="Times New Roman" w:cs="Times New Roman"/>
                <w:b/>
                <w:sz w:val="24"/>
              </w:rPr>
              <w:t xml:space="preserve">: </w:t>
            </w:r>
          </w:p>
        </w:tc>
        <w:tc>
          <w:tcPr>
            <w:tcW w:w="5402" w:type="dxa"/>
          </w:tcPr>
          <w:p w14:paraId="44573104" w14:textId="77777777" w:rsidR="00236608" w:rsidRPr="007B78C1" w:rsidRDefault="00236608" w:rsidP="009A6B72"/>
        </w:tc>
      </w:tr>
      <w:tr w:rsidR="007B78C1" w:rsidRPr="007B78C1" w14:paraId="41DAE210" w14:textId="77777777" w:rsidTr="007B78C1">
        <w:trPr>
          <w:trHeight w:val="270"/>
        </w:trPr>
        <w:tc>
          <w:tcPr>
            <w:tcW w:w="4133" w:type="dxa"/>
          </w:tcPr>
          <w:p w14:paraId="064A5C6E" w14:textId="77777777" w:rsidR="00236608" w:rsidRPr="007B78C1" w:rsidRDefault="00236608" w:rsidP="009A6B72">
            <w:pPr>
              <w:pStyle w:val="Form"/>
              <w:rPr>
                <w:rFonts w:ascii="Times New Roman" w:hAnsi="Times New Roman" w:cs="Times New Roman"/>
                <w:b/>
                <w:sz w:val="24"/>
              </w:rPr>
            </w:pPr>
            <w:r w:rsidRPr="007B78C1">
              <w:rPr>
                <w:rFonts w:ascii="Times New Roman" w:hAnsi="Times New Roman" w:cs="Times New Roman"/>
                <w:b/>
                <w:sz w:val="24"/>
              </w:rPr>
              <w:t>Organization:</w:t>
            </w:r>
          </w:p>
        </w:tc>
        <w:tc>
          <w:tcPr>
            <w:tcW w:w="5402" w:type="dxa"/>
          </w:tcPr>
          <w:p w14:paraId="6DC88D1F" w14:textId="666ADBC5" w:rsidR="00236608" w:rsidRPr="007B78C1" w:rsidRDefault="008D7856" w:rsidP="009A6B72">
            <w:r w:rsidRPr="007B78C1">
              <w:t xml:space="preserve">Business for Nature </w:t>
            </w:r>
          </w:p>
        </w:tc>
      </w:tr>
      <w:tr w:rsidR="007B78C1" w:rsidRPr="008C4D9D" w14:paraId="19EAFF8D" w14:textId="77777777" w:rsidTr="007B78C1">
        <w:trPr>
          <w:trHeight w:val="280"/>
        </w:trPr>
        <w:tc>
          <w:tcPr>
            <w:tcW w:w="4133" w:type="dxa"/>
          </w:tcPr>
          <w:p w14:paraId="051F46C6" w14:textId="77777777" w:rsidR="00236608" w:rsidRPr="007B78C1" w:rsidRDefault="00236608" w:rsidP="009A6B72">
            <w:pPr>
              <w:pStyle w:val="Form"/>
              <w:rPr>
                <w:rFonts w:ascii="Times New Roman" w:hAnsi="Times New Roman" w:cs="Times New Roman"/>
                <w:b/>
                <w:sz w:val="24"/>
              </w:rPr>
            </w:pPr>
            <w:r w:rsidRPr="007B78C1">
              <w:rPr>
                <w:rFonts w:ascii="Times New Roman" w:hAnsi="Times New Roman" w:cs="Times New Roman"/>
                <w:b/>
                <w:sz w:val="24"/>
              </w:rPr>
              <w:t xml:space="preserve">Address:  </w:t>
            </w:r>
          </w:p>
        </w:tc>
        <w:tc>
          <w:tcPr>
            <w:tcW w:w="5402" w:type="dxa"/>
          </w:tcPr>
          <w:p w14:paraId="1BEACDEF" w14:textId="77F9A4CD" w:rsidR="00236608" w:rsidRPr="007B78C1" w:rsidRDefault="008D7856" w:rsidP="009A6B72">
            <w:pPr>
              <w:rPr>
                <w:lang w:val="fr-FR"/>
              </w:rPr>
            </w:pPr>
            <w:r w:rsidRPr="007B78C1">
              <w:rPr>
                <w:rStyle w:val="normaltextrun"/>
                <w:lang w:val="fr-FR"/>
              </w:rPr>
              <w:t xml:space="preserve">WBCSD, Avenue du Bouchet 2bis, 1209 Genève, </w:t>
            </w:r>
            <w:proofErr w:type="spellStart"/>
            <w:r w:rsidRPr="007B78C1">
              <w:rPr>
                <w:rStyle w:val="normaltextrun"/>
                <w:lang w:val="fr-FR"/>
              </w:rPr>
              <w:t>Switzerland</w:t>
            </w:r>
            <w:proofErr w:type="spellEnd"/>
            <w:r w:rsidRPr="007B78C1">
              <w:rPr>
                <w:rStyle w:val="eop"/>
                <w:lang w:val="fr-FR"/>
              </w:rPr>
              <w:t> </w:t>
            </w:r>
          </w:p>
        </w:tc>
      </w:tr>
      <w:tr w:rsidR="007B78C1" w:rsidRPr="007B78C1" w14:paraId="3310BC30" w14:textId="77777777" w:rsidTr="007B78C1">
        <w:trPr>
          <w:trHeight w:val="270"/>
        </w:trPr>
        <w:tc>
          <w:tcPr>
            <w:tcW w:w="4133" w:type="dxa"/>
          </w:tcPr>
          <w:p w14:paraId="675A80C3" w14:textId="77777777" w:rsidR="00236608" w:rsidRPr="007B78C1" w:rsidRDefault="00236608" w:rsidP="009A6B72">
            <w:pPr>
              <w:pStyle w:val="Form"/>
              <w:rPr>
                <w:rFonts w:ascii="Times New Roman" w:hAnsi="Times New Roman" w:cs="Times New Roman"/>
                <w:b/>
                <w:sz w:val="24"/>
              </w:rPr>
            </w:pPr>
            <w:r w:rsidRPr="007B78C1">
              <w:rPr>
                <w:rFonts w:ascii="Times New Roman" w:hAnsi="Times New Roman" w:cs="Times New Roman"/>
                <w:b/>
                <w:sz w:val="24"/>
              </w:rPr>
              <w:t>City:</w:t>
            </w:r>
          </w:p>
        </w:tc>
        <w:tc>
          <w:tcPr>
            <w:tcW w:w="5402" w:type="dxa"/>
          </w:tcPr>
          <w:p w14:paraId="160AB00E" w14:textId="11D3DD8A" w:rsidR="00236608" w:rsidRPr="007B78C1" w:rsidRDefault="008D7856" w:rsidP="009A6B72">
            <w:r w:rsidRPr="007B78C1">
              <w:t>Geneva</w:t>
            </w:r>
          </w:p>
        </w:tc>
      </w:tr>
      <w:tr w:rsidR="007B78C1" w:rsidRPr="007B78C1" w14:paraId="0303D967" w14:textId="77777777" w:rsidTr="007B78C1">
        <w:trPr>
          <w:trHeight w:val="280"/>
        </w:trPr>
        <w:tc>
          <w:tcPr>
            <w:tcW w:w="4133" w:type="dxa"/>
          </w:tcPr>
          <w:p w14:paraId="241052A2" w14:textId="77777777" w:rsidR="00236608" w:rsidRPr="007B78C1" w:rsidRDefault="00236608" w:rsidP="009A6B72">
            <w:pPr>
              <w:pStyle w:val="Form"/>
              <w:rPr>
                <w:rFonts w:ascii="Times New Roman" w:hAnsi="Times New Roman" w:cs="Times New Roman"/>
                <w:b/>
                <w:sz w:val="24"/>
              </w:rPr>
            </w:pPr>
            <w:r w:rsidRPr="007B78C1">
              <w:rPr>
                <w:rFonts w:ascii="Times New Roman" w:hAnsi="Times New Roman" w:cs="Times New Roman"/>
                <w:b/>
                <w:sz w:val="24"/>
              </w:rPr>
              <w:t>Country:</w:t>
            </w:r>
          </w:p>
        </w:tc>
        <w:tc>
          <w:tcPr>
            <w:tcW w:w="5402" w:type="dxa"/>
          </w:tcPr>
          <w:p w14:paraId="213ED87C" w14:textId="53C69C81" w:rsidR="00236608" w:rsidRPr="007B78C1" w:rsidRDefault="008D7856" w:rsidP="009A6B72">
            <w:r w:rsidRPr="007B78C1">
              <w:t>Switzerland</w:t>
            </w:r>
          </w:p>
        </w:tc>
      </w:tr>
      <w:tr w:rsidR="007B78C1" w:rsidRPr="007B78C1" w14:paraId="1112C88B" w14:textId="77777777" w:rsidTr="007B78C1">
        <w:trPr>
          <w:trHeight w:val="270"/>
        </w:trPr>
        <w:tc>
          <w:tcPr>
            <w:tcW w:w="4133" w:type="dxa"/>
          </w:tcPr>
          <w:p w14:paraId="45B7FB6A" w14:textId="77777777" w:rsidR="00236608" w:rsidRPr="007B78C1" w:rsidRDefault="00236608" w:rsidP="009A6B72">
            <w:pPr>
              <w:pStyle w:val="Form"/>
              <w:rPr>
                <w:rFonts w:ascii="Times New Roman" w:hAnsi="Times New Roman" w:cs="Times New Roman"/>
                <w:b/>
                <w:sz w:val="24"/>
              </w:rPr>
            </w:pPr>
            <w:r w:rsidRPr="007B78C1">
              <w:rPr>
                <w:rFonts w:ascii="Times New Roman" w:hAnsi="Times New Roman" w:cs="Times New Roman"/>
                <w:b/>
                <w:sz w:val="24"/>
              </w:rPr>
              <w:t>Postal Code:</w:t>
            </w:r>
          </w:p>
        </w:tc>
        <w:tc>
          <w:tcPr>
            <w:tcW w:w="5402" w:type="dxa"/>
          </w:tcPr>
          <w:p w14:paraId="3E34F7CA" w14:textId="6C1C4C0B" w:rsidR="00236608" w:rsidRPr="007B78C1" w:rsidRDefault="008D7856" w:rsidP="009A6B72">
            <w:r w:rsidRPr="007B78C1">
              <w:t>1209</w:t>
            </w:r>
          </w:p>
        </w:tc>
      </w:tr>
      <w:tr w:rsidR="007B78C1" w:rsidRPr="007B78C1" w14:paraId="64A916DC" w14:textId="77777777" w:rsidTr="007B78C1">
        <w:trPr>
          <w:trHeight w:val="270"/>
        </w:trPr>
        <w:tc>
          <w:tcPr>
            <w:tcW w:w="4133" w:type="dxa"/>
          </w:tcPr>
          <w:p w14:paraId="18A42CE7" w14:textId="77777777" w:rsidR="00236608" w:rsidRPr="007B78C1" w:rsidRDefault="00236608" w:rsidP="009A6B72">
            <w:pPr>
              <w:pStyle w:val="Form"/>
              <w:rPr>
                <w:rFonts w:ascii="Times New Roman" w:hAnsi="Times New Roman" w:cs="Times New Roman"/>
                <w:b/>
                <w:sz w:val="24"/>
              </w:rPr>
            </w:pPr>
            <w:r w:rsidRPr="007B78C1">
              <w:rPr>
                <w:rFonts w:ascii="Times New Roman" w:hAnsi="Times New Roman" w:cs="Times New Roman"/>
                <w:b/>
                <w:sz w:val="24"/>
              </w:rPr>
              <w:t xml:space="preserve">Phone Number </w:t>
            </w:r>
            <w:r w:rsidRPr="007B78C1">
              <w:rPr>
                <w:rFonts w:ascii="Times New Roman" w:hAnsi="Times New Roman" w:cs="Times New Roman"/>
                <w:sz w:val="24"/>
              </w:rPr>
              <w:t>(including country code)</w:t>
            </w:r>
            <w:r w:rsidRPr="007B78C1">
              <w:rPr>
                <w:rFonts w:ascii="Times New Roman" w:hAnsi="Times New Roman" w:cs="Times New Roman"/>
                <w:b/>
                <w:sz w:val="24"/>
              </w:rPr>
              <w:t xml:space="preserve">:  </w:t>
            </w:r>
          </w:p>
        </w:tc>
        <w:tc>
          <w:tcPr>
            <w:tcW w:w="5402" w:type="dxa"/>
          </w:tcPr>
          <w:p w14:paraId="6D5B5A6E" w14:textId="093AD671" w:rsidR="00236608" w:rsidRPr="007B78C1" w:rsidRDefault="008D7856" w:rsidP="009A6B72">
            <w:r w:rsidRPr="007B78C1">
              <w:t>+234 9166675000</w:t>
            </w:r>
          </w:p>
        </w:tc>
      </w:tr>
      <w:tr w:rsidR="007B78C1" w:rsidRPr="007B78C1" w14:paraId="7C74835B" w14:textId="77777777" w:rsidTr="007B78C1">
        <w:trPr>
          <w:trHeight w:val="233"/>
        </w:trPr>
        <w:tc>
          <w:tcPr>
            <w:tcW w:w="4133" w:type="dxa"/>
          </w:tcPr>
          <w:p w14:paraId="45DEDB26" w14:textId="77777777" w:rsidR="00236608" w:rsidRPr="007B78C1" w:rsidRDefault="00236608" w:rsidP="009A6B72">
            <w:pPr>
              <w:pStyle w:val="CommentSubject"/>
              <w:rPr>
                <w:sz w:val="24"/>
                <w:szCs w:val="24"/>
              </w:rPr>
            </w:pPr>
            <w:r w:rsidRPr="007B78C1">
              <w:rPr>
                <w:sz w:val="24"/>
                <w:szCs w:val="24"/>
              </w:rPr>
              <w:t>E-mail:</w:t>
            </w:r>
          </w:p>
        </w:tc>
        <w:tc>
          <w:tcPr>
            <w:tcW w:w="5402" w:type="dxa"/>
          </w:tcPr>
          <w:p w14:paraId="118A29DB" w14:textId="25D86B82" w:rsidR="00236608" w:rsidRPr="007B78C1" w:rsidRDefault="008C4D9D" w:rsidP="009A6B72">
            <w:r>
              <w:t>m</w:t>
            </w:r>
            <w:r w:rsidR="007B78C1" w:rsidRPr="007B78C1">
              <w:t>ichael.ofosuhene@businessfornature.org</w:t>
            </w:r>
          </w:p>
        </w:tc>
      </w:tr>
      <w:tr w:rsidR="007B78C1" w:rsidRPr="007B78C1" w14:paraId="5BF8E06D" w14:textId="77777777" w:rsidTr="007B78C1">
        <w:trPr>
          <w:trHeight w:val="359"/>
        </w:trPr>
        <w:tc>
          <w:tcPr>
            <w:tcW w:w="95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0E4EFB" w14:textId="0B436C45" w:rsidR="00414EDF" w:rsidRPr="007B78C1" w:rsidRDefault="00414EDF" w:rsidP="00414EDF">
            <w:pPr>
              <w:jc w:val="center"/>
              <w:rPr>
                <w:b/>
                <w:bCs/>
              </w:rPr>
            </w:pPr>
            <w:r w:rsidRPr="007B78C1">
              <w:rPr>
                <w:b/>
                <w:bCs/>
              </w:rPr>
              <w:t>Comments</w:t>
            </w:r>
          </w:p>
        </w:tc>
      </w:tr>
      <w:tr w:rsidR="007B78C1" w:rsidRPr="007B78C1" w14:paraId="396AFF2B" w14:textId="77777777" w:rsidTr="007B78C1">
        <w:trPr>
          <w:trHeight w:val="494"/>
        </w:trPr>
        <w:tc>
          <w:tcPr>
            <w:tcW w:w="9535" w:type="dxa"/>
            <w:gridSpan w:val="2"/>
            <w:tcBorders>
              <w:top w:val="single" w:sz="4" w:space="0" w:color="auto"/>
              <w:left w:val="single" w:sz="4" w:space="0" w:color="auto"/>
              <w:right w:val="single" w:sz="4" w:space="0" w:color="auto"/>
            </w:tcBorders>
          </w:tcPr>
          <w:p w14:paraId="6FFB2E78" w14:textId="2D10D8F4" w:rsidR="00414EDF" w:rsidRPr="007B78C1" w:rsidRDefault="00414EDF" w:rsidP="00FF1E02">
            <w:r w:rsidRPr="007B78C1">
              <w:t xml:space="preserve">Please include </w:t>
            </w:r>
            <w:r w:rsidR="00F122C1" w:rsidRPr="007B78C1">
              <w:t xml:space="preserve">general </w:t>
            </w:r>
            <w:r w:rsidRPr="007B78C1">
              <w:t xml:space="preserve">comments </w:t>
            </w:r>
            <w:r w:rsidR="00F122C1" w:rsidRPr="007B78C1">
              <w:t>on</w:t>
            </w:r>
            <w:r w:rsidR="000B252D" w:rsidRPr="007B78C1">
              <w:t xml:space="preserve"> capturing commitments from actors other than national governments</w:t>
            </w:r>
            <w:r w:rsidR="00FF1E02" w:rsidRPr="007B78C1">
              <w:t>.</w:t>
            </w:r>
          </w:p>
          <w:p w14:paraId="7A5FE04E" w14:textId="131B75E0" w:rsidR="008D7856" w:rsidRPr="007B78C1" w:rsidRDefault="008D7856" w:rsidP="00FF1E02"/>
          <w:p w14:paraId="69465667" w14:textId="77777777" w:rsidR="008D7856" w:rsidRPr="007B78C1" w:rsidRDefault="008D7856" w:rsidP="008D7856">
            <w:pPr>
              <w:pStyle w:val="ListParagraph"/>
              <w:numPr>
                <w:ilvl w:val="0"/>
                <w:numId w:val="3"/>
              </w:numPr>
              <w:spacing w:after="160" w:line="259" w:lineRule="auto"/>
              <w:rPr>
                <w:b/>
                <w:bCs/>
              </w:rPr>
            </w:pPr>
            <w:r w:rsidRPr="007B78C1">
              <w:rPr>
                <w:b/>
                <w:bCs/>
              </w:rPr>
              <w:t>General comments on capturing commitments from actors other than national governments</w:t>
            </w:r>
          </w:p>
          <w:p w14:paraId="4A6D8A41" w14:textId="77777777" w:rsidR="008D7856" w:rsidRPr="007B78C1" w:rsidRDefault="008D7856" w:rsidP="008D7856">
            <w:pPr>
              <w:rPr>
                <w:rStyle w:val="normaltextrun"/>
                <w:bdr w:val="none" w:sz="0" w:space="0" w:color="auto" w:frame="1"/>
              </w:rPr>
            </w:pPr>
            <w:r w:rsidRPr="007B78C1">
              <w:rPr>
                <w:rStyle w:val="normaltextrun"/>
                <w:bdr w:val="none" w:sz="0" w:space="0" w:color="auto" w:frame="1"/>
              </w:rPr>
              <w:t xml:space="preserve">Business for Nature welcomes the publication of document CBD/SBI/3/11/Add.6 on Commitments from actors other than national governments in the context of an enhanced planning, monitoring, </w:t>
            </w:r>
            <w:proofErr w:type="gramStart"/>
            <w:r w:rsidRPr="007B78C1">
              <w:rPr>
                <w:rStyle w:val="normaltextrun"/>
                <w:bdr w:val="none" w:sz="0" w:space="0" w:color="auto" w:frame="1"/>
              </w:rPr>
              <w:t>review</w:t>
            </w:r>
            <w:proofErr w:type="gramEnd"/>
            <w:r w:rsidRPr="007B78C1">
              <w:rPr>
                <w:rStyle w:val="normaltextrun"/>
                <w:bdr w:val="none" w:sz="0" w:space="0" w:color="auto" w:frame="1"/>
              </w:rPr>
              <w:t xml:space="preserve"> and reporting mechanism. We support the Parties and CBD Secretariat’s ambition to invite indigenous peoples and local communities, subnational governments, cities and other local authorities, intergovernmental organizations, other </w:t>
            </w:r>
            <w:r w:rsidRPr="007B78C1">
              <w:rPr>
                <w:rStyle w:val="normaltextrun"/>
                <w:bdr w:val="none" w:sz="0" w:space="0" w:color="auto" w:frame="1"/>
              </w:rPr>
              <w:lastRenderedPageBreak/>
              <w:t xml:space="preserve">multilateral environmental agreements, non-governmental organizations, women’s groups, youth groups, research organizations, the business and finance community and representatives of sectors related to or dependent on biodiversity, to develop commitments in support of the post-2020 global biodiversity framework. </w:t>
            </w:r>
          </w:p>
          <w:p w14:paraId="0F7A5FCF" w14:textId="77777777" w:rsidR="007B78C1" w:rsidRPr="007B78C1" w:rsidRDefault="007B78C1" w:rsidP="008D7856">
            <w:pPr>
              <w:rPr>
                <w:rStyle w:val="normaltextrun"/>
                <w:bdr w:val="none" w:sz="0" w:space="0" w:color="auto" w:frame="1"/>
              </w:rPr>
            </w:pPr>
          </w:p>
          <w:p w14:paraId="675DBB79" w14:textId="5622C8B3" w:rsidR="008D7856" w:rsidRPr="007B78C1" w:rsidRDefault="008D7856" w:rsidP="008D7856">
            <w:pPr>
              <w:rPr>
                <w:rStyle w:val="normaltextrun"/>
                <w:bdr w:val="none" w:sz="0" w:space="0" w:color="auto" w:frame="1"/>
              </w:rPr>
            </w:pPr>
            <w:r w:rsidRPr="007B78C1">
              <w:rPr>
                <w:rStyle w:val="normaltextrun"/>
                <w:bdr w:val="none" w:sz="0" w:space="0" w:color="auto" w:frame="1"/>
              </w:rPr>
              <w:t xml:space="preserve">We especially welcome the recognition of the role non-parties </w:t>
            </w:r>
            <w:proofErr w:type="gramStart"/>
            <w:r w:rsidRPr="007B78C1">
              <w:rPr>
                <w:rStyle w:val="normaltextrun"/>
                <w:bdr w:val="none" w:sz="0" w:space="0" w:color="auto" w:frame="1"/>
              </w:rPr>
              <w:t>have to</w:t>
            </w:r>
            <w:proofErr w:type="gramEnd"/>
            <w:r w:rsidRPr="007B78C1">
              <w:rPr>
                <w:rStyle w:val="normaltextrun"/>
                <w:bdr w:val="none" w:sz="0" w:space="0" w:color="auto" w:frame="1"/>
              </w:rPr>
              <w:t xml:space="preserve"> play in the transformation needed and the way this is framed in the proposed general principles for including commitments from actors other than national governments in an enhanced planning, monitoring, review and reporting mechanism. This is an important contribution to mainstreaming biodiversity into the decision-making and actions of all relevant actors, which is key to achieving the mission and targets from the Post-2020 Global Biodiversity Framework. </w:t>
            </w:r>
          </w:p>
          <w:p w14:paraId="11EE0553" w14:textId="77777777" w:rsidR="008D7856" w:rsidRPr="007B78C1" w:rsidRDefault="008D7856" w:rsidP="008D7856">
            <w:pPr>
              <w:rPr>
                <w:rStyle w:val="normaltextrun"/>
                <w:bdr w:val="none" w:sz="0" w:space="0" w:color="auto" w:frame="1"/>
              </w:rPr>
            </w:pPr>
            <w:r w:rsidRPr="007B78C1">
              <w:rPr>
                <w:rStyle w:val="normaltextrun"/>
                <w:bdr w:val="none" w:sz="0" w:space="0" w:color="auto" w:frame="1"/>
              </w:rPr>
              <w:t xml:space="preserve">Notwithstanding the many good elements in document CBD/SBI/3/11/Add.6, we believe that the following key reflections could help to strengthen, </w:t>
            </w:r>
            <w:proofErr w:type="gramStart"/>
            <w:r w:rsidRPr="007B78C1">
              <w:rPr>
                <w:rStyle w:val="normaltextrun"/>
                <w:bdr w:val="none" w:sz="0" w:space="0" w:color="auto" w:frame="1"/>
              </w:rPr>
              <w:t>improve</w:t>
            </w:r>
            <w:proofErr w:type="gramEnd"/>
            <w:r w:rsidRPr="007B78C1">
              <w:rPr>
                <w:rStyle w:val="normaltextrun"/>
                <w:bdr w:val="none" w:sz="0" w:space="0" w:color="auto" w:frame="1"/>
              </w:rPr>
              <w:t xml:space="preserve"> and refine the document:</w:t>
            </w:r>
          </w:p>
          <w:p w14:paraId="734EF7FF" w14:textId="77777777" w:rsidR="008D7856" w:rsidRPr="007B78C1" w:rsidRDefault="008D7856" w:rsidP="008D7856">
            <w:pPr>
              <w:rPr>
                <w:rStyle w:val="normaltextrun"/>
                <w:bdr w:val="none" w:sz="0" w:space="0" w:color="auto" w:frame="1"/>
              </w:rPr>
            </w:pPr>
          </w:p>
          <w:p w14:paraId="378CF057" w14:textId="77777777" w:rsidR="008D7856" w:rsidRPr="007B78C1" w:rsidRDefault="008D7856" w:rsidP="008D7856">
            <w:pPr>
              <w:rPr>
                <w:rStyle w:val="normaltextrun"/>
                <w:bdr w:val="none" w:sz="0" w:space="0" w:color="auto" w:frame="1"/>
              </w:rPr>
            </w:pPr>
          </w:p>
          <w:p w14:paraId="34ED1971" w14:textId="77777777" w:rsidR="008D7856" w:rsidRPr="007B78C1" w:rsidRDefault="008D7856" w:rsidP="008D7856">
            <w:pPr>
              <w:pStyle w:val="ListParagraph"/>
              <w:numPr>
                <w:ilvl w:val="0"/>
                <w:numId w:val="2"/>
              </w:numPr>
              <w:spacing w:after="160"/>
              <w:rPr>
                <w:rFonts w:eastAsiaTheme="minorEastAsia"/>
              </w:rPr>
            </w:pPr>
            <w:r w:rsidRPr="007B78C1">
              <w:rPr>
                <w:b/>
                <w:bCs/>
              </w:rPr>
              <w:t xml:space="preserve">Acknowledge and include commitments from existing commitment platforms that contribute to reversing nature loss:  </w:t>
            </w:r>
            <w:r w:rsidRPr="007B78C1">
              <w:t xml:space="preserve">Hundreds of forward-thinking businesses have already made commitments and are taking action to help reverse nature loss through existing commitment platforms, focusing on specific SDGs, </w:t>
            </w:r>
            <w:proofErr w:type="gramStart"/>
            <w:r w:rsidRPr="007B78C1">
              <w:t>sectors</w:t>
            </w:r>
            <w:proofErr w:type="gramEnd"/>
            <w:r w:rsidRPr="007B78C1">
              <w:t xml:space="preserve"> or cross-cutting issues. Non-state contributions to achieving the Post-2020 Global Biodiversity Framework targets will accelerate if these commitments are acknowledged. (See </w:t>
            </w:r>
            <w:hyperlink r:id="rId10">
              <w:r w:rsidRPr="007B78C1">
                <w:rPr>
                  <w:rStyle w:val="Hyperlink"/>
                  <w:color w:val="auto"/>
                </w:rPr>
                <w:t>www.businessfornature.org/</w:t>
              </w:r>
            </w:hyperlink>
            <w:r w:rsidRPr="007B78C1">
              <w:rPr>
                <w:rStyle w:val="Hyperlink"/>
                <w:color w:val="auto"/>
              </w:rPr>
              <w:t>commit</w:t>
            </w:r>
            <w:r w:rsidRPr="007B78C1">
              <w:t xml:space="preserve"> for an overview of existing business commitments to reverse nature loss.)</w:t>
            </w:r>
            <w:r w:rsidRPr="007B78C1">
              <w:br/>
            </w:r>
          </w:p>
          <w:p w14:paraId="06F5C3BE" w14:textId="77777777" w:rsidR="008D7856" w:rsidRPr="007B78C1" w:rsidRDefault="008D7856" w:rsidP="008D7856">
            <w:pPr>
              <w:pStyle w:val="ListParagraph"/>
              <w:numPr>
                <w:ilvl w:val="0"/>
                <w:numId w:val="2"/>
              </w:numPr>
              <w:spacing w:after="160"/>
              <w:rPr>
                <w:rFonts w:eastAsiaTheme="minorEastAsia"/>
                <w:b/>
                <w:bCs/>
              </w:rPr>
            </w:pPr>
            <w:r w:rsidRPr="007B78C1">
              <w:rPr>
                <w:b/>
                <w:bCs/>
              </w:rPr>
              <w:t>Promote alignment between commitments from Parties and non-parties, by setting a global mission for nature that will drive all stakeholders’ actions and by structuring commitments to their contribution to SDGs:</w:t>
            </w:r>
            <w:r w:rsidRPr="007B78C1">
              <w:t xml:space="preserve">  </w:t>
            </w:r>
            <w:r w:rsidRPr="007B78C1">
              <w:br/>
              <w:t xml:space="preserve">A clear, simple, </w:t>
            </w:r>
            <w:proofErr w:type="gramStart"/>
            <w:r w:rsidRPr="007B78C1">
              <w:t>measurable</w:t>
            </w:r>
            <w:proofErr w:type="gramEnd"/>
            <w:r w:rsidRPr="007B78C1">
              <w:t xml:space="preserve"> and rallying mission that sets the direction of travel for all stakeholders would allow Parties to add up commitments of all actors in their country, comparable to how Parties at UNFCC can calculate a total contribution to reduce CO2 emissions. </w:t>
            </w:r>
            <w:proofErr w:type="gramStart"/>
            <w:r w:rsidRPr="007B78C1">
              <w:t>In order to</w:t>
            </w:r>
            <w:proofErr w:type="gramEnd"/>
            <w:r w:rsidRPr="007B78C1">
              <w:t xml:space="preserve"> promote mainstreaming of biodiversity commitments with other commitments, this should be combined with structuring the commitments on the basis of their contribution to SDGs. Existing global business commitments exists for example related to SDG 14, SDG </w:t>
            </w:r>
            <w:proofErr w:type="gramStart"/>
            <w:r w:rsidRPr="007B78C1">
              <w:t>15</w:t>
            </w:r>
            <w:proofErr w:type="gramEnd"/>
            <w:r w:rsidRPr="007B78C1">
              <w:t xml:space="preserve"> and SDG 6.</w:t>
            </w:r>
          </w:p>
          <w:p w14:paraId="1D6312A3" w14:textId="77777777" w:rsidR="008D7856" w:rsidRPr="007B78C1" w:rsidRDefault="008D7856" w:rsidP="008D7856">
            <w:pPr>
              <w:pStyle w:val="ListParagraph"/>
              <w:rPr>
                <w:rFonts w:eastAsiaTheme="minorEastAsia"/>
                <w:b/>
                <w:bCs/>
              </w:rPr>
            </w:pPr>
          </w:p>
          <w:p w14:paraId="7CCEBD0B" w14:textId="77777777" w:rsidR="008D7856" w:rsidRPr="007B78C1" w:rsidRDefault="008D7856" w:rsidP="008D7856">
            <w:pPr>
              <w:pStyle w:val="ListParagraph"/>
              <w:numPr>
                <w:ilvl w:val="0"/>
                <w:numId w:val="2"/>
              </w:numPr>
              <w:spacing w:after="160"/>
              <w:rPr>
                <w:rFonts w:eastAsiaTheme="minorEastAsia"/>
                <w:b/>
                <w:bCs/>
              </w:rPr>
            </w:pPr>
            <w:r w:rsidRPr="007B78C1">
              <w:rPr>
                <w:b/>
                <w:bCs/>
              </w:rPr>
              <w:t>Parties should strengthen minimum criteria for commitments and initiatives from non-parties that align with best practice and ambition of the Global Biodiversity Framework.</w:t>
            </w:r>
            <w:r w:rsidRPr="007B78C1">
              <w:t xml:space="preserve"> </w:t>
            </w:r>
            <w:proofErr w:type="gramStart"/>
            <w:r w:rsidRPr="007B78C1">
              <w:t>In order to</w:t>
            </w:r>
            <w:proofErr w:type="gramEnd"/>
            <w:r w:rsidRPr="007B78C1">
              <w:t xml:space="preserve"> ensure that commitments and initiatives contribute substantially to the action agenda, we propose to add the following considerations to the </w:t>
            </w:r>
            <w:hyperlink r:id="rId11">
              <w:r w:rsidRPr="007B78C1">
                <w:rPr>
                  <w:rStyle w:val="Hyperlink"/>
                  <w:color w:val="auto"/>
                </w:rPr>
                <w:t>current set of criteria</w:t>
              </w:r>
            </w:hyperlink>
            <w:r w:rsidRPr="007B78C1">
              <w:t xml:space="preserve">: </w:t>
            </w:r>
          </w:p>
          <w:p w14:paraId="22375A4A" w14:textId="77777777" w:rsidR="008D7856" w:rsidRPr="007B78C1" w:rsidRDefault="008D7856" w:rsidP="008D7856">
            <w:pPr>
              <w:pStyle w:val="ListParagraph"/>
              <w:numPr>
                <w:ilvl w:val="1"/>
                <w:numId w:val="2"/>
              </w:numPr>
              <w:spacing w:after="160"/>
              <w:rPr>
                <w:rFonts w:eastAsiaTheme="minorEastAsia"/>
                <w:b/>
                <w:bCs/>
              </w:rPr>
            </w:pPr>
            <w:r w:rsidRPr="007B78C1">
              <w:rPr>
                <w:b/>
                <w:bCs/>
              </w:rPr>
              <w:t>Leadership</w:t>
            </w:r>
            <w:r w:rsidRPr="007B78C1">
              <w:t xml:space="preserve">: commitment should be pledged at the head of organization level  </w:t>
            </w:r>
          </w:p>
          <w:p w14:paraId="408F9622" w14:textId="77777777" w:rsidR="008D7856" w:rsidRPr="007B78C1" w:rsidRDefault="008D7856" w:rsidP="008D7856">
            <w:pPr>
              <w:pStyle w:val="ListParagraph"/>
              <w:numPr>
                <w:ilvl w:val="1"/>
                <w:numId w:val="2"/>
              </w:numPr>
              <w:spacing w:after="160"/>
              <w:rPr>
                <w:rFonts w:eastAsiaTheme="minorEastAsia"/>
                <w:b/>
                <w:bCs/>
              </w:rPr>
            </w:pPr>
            <w:r w:rsidRPr="007B78C1">
              <w:rPr>
                <w:b/>
                <w:bCs/>
              </w:rPr>
              <w:t>Timeframe:</w:t>
            </w:r>
            <w:r w:rsidRPr="007B78C1">
              <w:t xml:space="preserve"> there needs to be a clear timeframe for the commitment</w:t>
            </w:r>
          </w:p>
          <w:p w14:paraId="5F7F7A9B" w14:textId="77777777" w:rsidR="008D7856" w:rsidRPr="007B78C1" w:rsidRDefault="008D7856" w:rsidP="008D7856">
            <w:pPr>
              <w:pStyle w:val="ListParagraph"/>
              <w:numPr>
                <w:ilvl w:val="1"/>
                <w:numId w:val="2"/>
              </w:numPr>
              <w:spacing w:after="160"/>
              <w:rPr>
                <w:rFonts w:eastAsiaTheme="minorEastAsia"/>
                <w:b/>
                <w:bCs/>
              </w:rPr>
            </w:pPr>
            <w:r w:rsidRPr="007B78C1">
              <w:rPr>
                <w:b/>
                <w:bCs/>
              </w:rPr>
              <w:t>Transparency:</w:t>
            </w:r>
            <w:r w:rsidRPr="007B78C1">
              <w:t xml:space="preserve"> there needs to be a public list of committed companies and the platform needs to be open to more companies participating.</w:t>
            </w:r>
          </w:p>
          <w:p w14:paraId="388F677F" w14:textId="77777777" w:rsidR="008D7856" w:rsidRPr="007B78C1" w:rsidRDefault="008D7856" w:rsidP="008D7856">
            <w:pPr>
              <w:pStyle w:val="ListParagraph"/>
              <w:numPr>
                <w:ilvl w:val="1"/>
                <w:numId w:val="2"/>
              </w:numPr>
              <w:spacing w:after="160"/>
              <w:rPr>
                <w:rFonts w:eastAsiaTheme="minorEastAsia"/>
                <w:b/>
                <w:bCs/>
              </w:rPr>
            </w:pPr>
            <w:r w:rsidRPr="007B78C1">
              <w:rPr>
                <w:b/>
                <w:bCs/>
              </w:rPr>
              <w:t>Accountability</w:t>
            </w:r>
            <w:r w:rsidRPr="007B78C1">
              <w:t xml:space="preserve">: commit to report publicly both progress against interim and long-term targets, as well as the actions being taken, at least annually. </w:t>
            </w:r>
            <w:r w:rsidRPr="007B78C1">
              <w:br/>
            </w:r>
          </w:p>
          <w:p w14:paraId="1C5D113D" w14:textId="28974E2C" w:rsidR="002C4913" w:rsidRPr="007B78C1" w:rsidRDefault="008D7856" w:rsidP="00FF1E02">
            <w:pPr>
              <w:pStyle w:val="ListParagraph"/>
              <w:numPr>
                <w:ilvl w:val="0"/>
                <w:numId w:val="2"/>
              </w:numPr>
              <w:spacing w:after="160"/>
              <w:rPr>
                <w:rFonts w:eastAsiaTheme="minorEastAsia"/>
                <w:b/>
                <w:bCs/>
              </w:rPr>
            </w:pPr>
            <w:r w:rsidRPr="007B78C1">
              <w:rPr>
                <w:b/>
                <w:bCs/>
              </w:rPr>
              <w:lastRenderedPageBreak/>
              <w:t>Parties should coordinate reporting of progress, using aligned metrics for assessing progress, and promote cross-sectoral collaboration on implementation of commitments</w:t>
            </w:r>
            <w:r w:rsidRPr="007B78C1">
              <w:t>: To assess progress, all actors should use metrics that are aligned and consistent with the Post-2020 GBF’s Monitoring Framework. Parties should coordinate reporting by all actors under their jurisdiction, to ensure consistency at national level, and a protocol needs to be in place to guide attribution of cross-boundary to the relevant parties.</w:t>
            </w:r>
          </w:p>
        </w:tc>
      </w:tr>
      <w:tr w:rsidR="007B78C1" w:rsidRPr="007B78C1" w14:paraId="258581A2" w14:textId="77777777" w:rsidTr="007B78C1">
        <w:trPr>
          <w:trHeight w:val="422"/>
        </w:trPr>
        <w:tc>
          <w:tcPr>
            <w:tcW w:w="9535" w:type="dxa"/>
            <w:gridSpan w:val="2"/>
            <w:tcBorders>
              <w:top w:val="single" w:sz="4" w:space="0" w:color="auto"/>
              <w:left w:val="single" w:sz="4" w:space="0" w:color="auto"/>
              <w:right w:val="single" w:sz="4" w:space="0" w:color="auto"/>
            </w:tcBorders>
            <w:vAlign w:val="center"/>
          </w:tcPr>
          <w:p w14:paraId="4EB58A3F" w14:textId="0D2B7110" w:rsidR="00F122C1" w:rsidRPr="007B78C1" w:rsidRDefault="00F122C1" w:rsidP="00894810">
            <w:r w:rsidRPr="007B78C1">
              <w:lastRenderedPageBreak/>
              <w:br w:type="page"/>
              <w:t xml:space="preserve">Please use the table below to provide any specific comments on the template: </w:t>
            </w:r>
          </w:p>
        </w:tc>
      </w:tr>
    </w:tbl>
    <w:tbl>
      <w:tblPr>
        <w:tblStyle w:val="TableGrid"/>
        <w:tblW w:w="9540" w:type="dxa"/>
        <w:tblInd w:w="-5" w:type="dxa"/>
        <w:tblLayout w:type="fixed"/>
        <w:tblLook w:val="04A0" w:firstRow="1" w:lastRow="0" w:firstColumn="1" w:lastColumn="0" w:noHBand="0" w:noVBand="1"/>
      </w:tblPr>
      <w:tblGrid>
        <w:gridCol w:w="1710"/>
        <w:gridCol w:w="7830"/>
      </w:tblGrid>
      <w:tr w:rsidR="007B78C1" w:rsidRPr="007B78C1" w14:paraId="23F771EB" w14:textId="77777777" w:rsidTr="00D3167F">
        <w:trPr>
          <w:trHeight w:val="350"/>
        </w:trPr>
        <w:tc>
          <w:tcPr>
            <w:tcW w:w="171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7A9986FE" w14:textId="77777777" w:rsidR="00F122C1" w:rsidRPr="007B78C1" w:rsidRDefault="00F122C1" w:rsidP="00894810">
            <w:pPr>
              <w:pStyle w:val="ListParagraph"/>
              <w:suppressLineNumbers/>
              <w:suppressAutoHyphens/>
              <w:adjustRightInd w:val="0"/>
              <w:snapToGrid w:val="0"/>
              <w:ind w:left="0"/>
              <w:contextualSpacing w:val="0"/>
              <w:rPr>
                <w:b/>
                <w:kern w:val="22"/>
              </w:rPr>
            </w:pPr>
            <w:r w:rsidRPr="007B78C1">
              <w:rPr>
                <w:b/>
                <w:kern w:val="22"/>
              </w:rPr>
              <w:t>Section</w:t>
            </w:r>
          </w:p>
        </w:tc>
        <w:tc>
          <w:tcPr>
            <w:tcW w:w="783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DCB422" w14:textId="77777777" w:rsidR="00F122C1" w:rsidRPr="007B78C1" w:rsidRDefault="00F122C1" w:rsidP="00894810">
            <w:pPr>
              <w:pStyle w:val="ListParagraph"/>
              <w:suppressLineNumbers/>
              <w:suppressAutoHyphens/>
              <w:adjustRightInd w:val="0"/>
              <w:snapToGrid w:val="0"/>
              <w:ind w:left="0"/>
              <w:contextualSpacing w:val="0"/>
              <w:rPr>
                <w:b/>
                <w:kern w:val="22"/>
              </w:rPr>
            </w:pPr>
            <w:r w:rsidRPr="007B78C1">
              <w:rPr>
                <w:b/>
                <w:kern w:val="22"/>
              </w:rPr>
              <w:t>Comment</w:t>
            </w:r>
          </w:p>
        </w:tc>
      </w:tr>
      <w:tr w:rsidR="007B78C1" w:rsidRPr="007B78C1" w14:paraId="4E4D8779" w14:textId="77777777" w:rsidTr="00D3167F">
        <w:tc>
          <w:tcPr>
            <w:tcW w:w="1710" w:type="dxa"/>
            <w:tcBorders>
              <w:top w:val="nil"/>
            </w:tcBorders>
          </w:tcPr>
          <w:p w14:paraId="66D9F7B2" w14:textId="3C3A82F6" w:rsidR="00F122C1" w:rsidRPr="007B78C1" w:rsidRDefault="00F122C1" w:rsidP="00894810">
            <w:pPr>
              <w:pStyle w:val="ListParagraph"/>
              <w:suppressLineNumbers/>
              <w:suppressAutoHyphens/>
              <w:adjustRightInd w:val="0"/>
              <w:snapToGrid w:val="0"/>
              <w:ind w:left="0"/>
              <w:contextualSpacing w:val="0"/>
              <w:rPr>
                <w:bCs/>
                <w:kern w:val="22"/>
              </w:rPr>
            </w:pPr>
            <w:r w:rsidRPr="007B78C1">
              <w:rPr>
                <w:bCs/>
                <w:kern w:val="22"/>
              </w:rPr>
              <w:t>1</w:t>
            </w:r>
            <w:r w:rsidR="008D7856" w:rsidRPr="007B78C1">
              <w:rPr>
                <w:bCs/>
                <w:kern w:val="22"/>
              </w:rPr>
              <w:t xml:space="preserve"> </w:t>
            </w:r>
          </w:p>
        </w:tc>
        <w:tc>
          <w:tcPr>
            <w:tcW w:w="7830" w:type="dxa"/>
            <w:tcBorders>
              <w:top w:val="nil"/>
            </w:tcBorders>
          </w:tcPr>
          <w:p w14:paraId="406FF815" w14:textId="47B0D7FE" w:rsidR="00F122C1" w:rsidRPr="007B78C1" w:rsidRDefault="00F122C1" w:rsidP="00894810">
            <w:pPr>
              <w:pStyle w:val="ListParagraph"/>
              <w:suppressLineNumbers/>
              <w:suppressAutoHyphens/>
              <w:adjustRightInd w:val="0"/>
              <w:snapToGrid w:val="0"/>
              <w:ind w:left="0"/>
              <w:contextualSpacing w:val="0"/>
              <w:rPr>
                <w:bCs/>
                <w:kern w:val="22"/>
              </w:rPr>
            </w:pPr>
            <w:r w:rsidRPr="007B78C1">
              <w:rPr>
                <w:bCs/>
                <w:kern w:val="22"/>
              </w:rPr>
              <w:t xml:space="preserve">Please provide comments on section 1 </w:t>
            </w:r>
            <w:r w:rsidR="00127865" w:rsidRPr="007B78C1">
              <w:rPr>
                <w:bCs/>
                <w:kern w:val="22"/>
              </w:rPr>
              <w:t xml:space="preserve">on </w:t>
            </w:r>
            <w:r w:rsidRPr="007B78C1">
              <w:rPr>
                <w:bCs/>
                <w:kern w:val="22"/>
              </w:rPr>
              <w:t>general information on the actor.</w:t>
            </w:r>
          </w:p>
          <w:p w14:paraId="02A06A3B" w14:textId="130D794E" w:rsidR="00011AD9" w:rsidRPr="007B78C1" w:rsidRDefault="00011AD9" w:rsidP="00011AD9">
            <w:pPr>
              <w:suppressLineNumbers/>
              <w:suppressAutoHyphens/>
              <w:adjustRightInd w:val="0"/>
              <w:snapToGrid w:val="0"/>
              <w:rPr>
                <w:bCs/>
                <w:kern w:val="22"/>
              </w:rPr>
            </w:pPr>
          </w:p>
          <w:p w14:paraId="06F36C12" w14:textId="1506F561" w:rsidR="00011AD9" w:rsidRPr="007B78C1" w:rsidRDefault="00011AD9" w:rsidP="00011AD9">
            <w:pPr>
              <w:suppressLineNumbers/>
              <w:suppressAutoHyphens/>
              <w:adjustRightInd w:val="0"/>
              <w:snapToGrid w:val="0"/>
              <w:rPr>
                <w:lang w:val="en-GB"/>
              </w:rPr>
            </w:pPr>
            <w:r w:rsidRPr="007B78C1">
              <w:rPr>
                <w:b/>
                <w:kern w:val="22"/>
              </w:rPr>
              <w:t>6 Current text:</w:t>
            </w:r>
            <w:r w:rsidRPr="007B78C1">
              <w:rPr>
                <w:bCs/>
                <w:kern w:val="22"/>
              </w:rPr>
              <w:t xml:space="preserve"> Geographical scope </w:t>
            </w:r>
            <w:r w:rsidRPr="007B78C1">
              <w:rPr>
                <w:lang w:val="en-GB"/>
              </w:rPr>
              <w:t xml:space="preserve">(local, national, </w:t>
            </w:r>
            <w:proofErr w:type="gramStart"/>
            <w:r w:rsidRPr="007B78C1">
              <w:rPr>
                <w:lang w:val="en-GB"/>
              </w:rPr>
              <w:t>regional</w:t>
            </w:r>
            <w:proofErr w:type="gramEnd"/>
            <w:r w:rsidRPr="007B78C1">
              <w:rPr>
                <w:lang w:val="en-GB"/>
              </w:rPr>
              <w:t xml:space="preserve"> or multinational). </w:t>
            </w:r>
          </w:p>
          <w:p w14:paraId="11ACE426" w14:textId="30B93310" w:rsidR="00011AD9" w:rsidRPr="007B78C1" w:rsidRDefault="00011AD9" w:rsidP="00011AD9">
            <w:pPr>
              <w:suppressLineNumbers/>
              <w:suppressAutoHyphens/>
              <w:adjustRightInd w:val="0"/>
              <w:snapToGrid w:val="0"/>
              <w:rPr>
                <w:lang w:val="en-GB"/>
              </w:rPr>
            </w:pPr>
          </w:p>
          <w:p w14:paraId="4BE8BB90" w14:textId="25DFD04C" w:rsidR="00011AD9" w:rsidRPr="007B78C1" w:rsidRDefault="00011AD9" w:rsidP="00011AD9">
            <w:pPr>
              <w:suppressLineNumbers/>
              <w:suppressAutoHyphens/>
              <w:adjustRightInd w:val="0"/>
              <w:snapToGrid w:val="0"/>
              <w:rPr>
                <w:b/>
                <w:bCs/>
                <w:lang w:val="en-GB"/>
              </w:rPr>
            </w:pPr>
            <w:r w:rsidRPr="007B78C1">
              <w:rPr>
                <w:b/>
                <w:bCs/>
                <w:lang w:val="en-GB"/>
              </w:rPr>
              <w:t xml:space="preserve">Suggested amendment: </w:t>
            </w:r>
          </w:p>
          <w:p w14:paraId="2FF4E39F" w14:textId="77777777" w:rsidR="00011AD9" w:rsidRPr="007B78C1" w:rsidRDefault="00011AD9" w:rsidP="00011AD9">
            <w:pPr>
              <w:spacing w:after="120"/>
            </w:pPr>
            <w:r w:rsidRPr="007B78C1">
              <w:t xml:space="preserve">6. </w:t>
            </w:r>
            <w:r w:rsidRPr="007B78C1">
              <w:rPr>
                <w:lang w:val="en-GB"/>
              </w:rPr>
              <w:t xml:space="preserve">Geographic scope (local, national, </w:t>
            </w:r>
            <w:proofErr w:type="gramStart"/>
            <w:r w:rsidRPr="007B78C1">
              <w:rPr>
                <w:lang w:val="en-GB"/>
              </w:rPr>
              <w:t>regional</w:t>
            </w:r>
            <w:proofErr w:type="gramEnd"/>
            <w:r w:rsidRPr="007B78C1">
              <w:rPr>
                <w:lang w:val="en-GB"/>
              </w:rPr>
              <w:t xml:space="preserve"> or multinational).</w:t>
            </w:r>
          </w:p>
          <w:p w14:paraId="60CD1CE2" w14:textId="77777777" w:rsidR="00011AD9" w:rsidRPr="007B78C1" w:rsidRDefault="00011AD9" w:rsidP="00011AD9">
            <w:pPr>
              <w:spacing w:after="120"/>
              <w:rPr>
                <w:u w:val="single"/>
                <w:lang w:val="en-GB"/>
              </w:rPr>
            </w:pPr>
            <w:r w:rsidRPr="007B78C1">
              <w:rPr>
                <w:u w:val="single"/>
                <w:lang w:val="en-GB"/>
              </w:rPr>
              <w:t>6 bis. For supra-national organizations: Identification and attribution of activities to relevant geographies.</w:t>
            </w:r>
          </w:p>
          <w:p w14:paraId="1646AA03" w14:textId="77777777" w:rsidR="00011AD9" w:rsidRPr="007B78C1" w:rsidRDefault="00011AD9" w:rsidP="00011AD9">
            <w:pPr>
              <w:suppressLineNumbers/>
              <w:suppressAutoHyphens/>
              <w:adjustRightInd w:val="0"/>
              <w:snapToGrid w:val="0"/>
              <w:rPr>
                <w:bCs/>
                <w:kern w:val="22"/>
                <w:lang w:val="en-GB"/>
              </w:rPr>
            </w:pPr>
          </w:p>
          <w:p w14:paraId="57B10A7E" w14:textId="470E478D" w:rsidR="008D7856" w:rsidRPr="007B78C1" w:rsidRDefault="00011AD9" w:rsidP="00894810">
            <w:pPr>
              <w:pStyle w:val="ListParagraph"/>
              <w:suppressLineNumbers/>
              <w:suppressAutoHyphens/>
              <w:adjustRightInd w:val="0"/>
              <w:snapToGrid w:val="0"/>
              <w:ind w:left="0"/>
              <w:contextualSpacing w:val="0"/>
              <w:rPr>
                <w:bCs/>
                <w:i/>
                <w:iCs/>
                <w:kern w:val="22"/>
              </w:rPr>
            </w:pPr>
            <w:r w:rsidRPr="007B78C1">
              <w:rPr>
                <w:b/>
                <w:i/>
                <w:iCs/>
                <w:kern w:val="22"/>
              </w:rPr>
              <w:t>Justification:</w:t>
            </w:r>
            <w:r w:rsidRPr="007B78C1">
              <w:rPr>
                <w:bCs/>
                <w:i/>
                <w:iCs/>
                <w:kern w:val="22"/>
              </w:rPr>
              <w:t xml:space="preserve"> </w:t>
            </w:r>
            <w:r w:rsidR="008D7856" w:rsidRPr="007B78C1">
              <w:rPr>
                <w:bCs/>
                <w:i/>
                <w:iCs/>
                <w:kern w:val="22"/>
              </w:rPr>
              <w:t xml:space="preserve">Many businesses that have committed to help </w:t>
            </w:r>
            <w:r w:rsidRPr="007B78C1">
              <w:rPr>
                <w:bCs/>
                <w:i/>
                <w:iCs/>
                <w:kern w:val="22"/>
              </w:rPr>
              <w:t>reversing nature loss are multinational companies with activities that are not limited to on geographical area.</w:t>
            </w:r>
          </w:p>
          <w:p w14:paraId="09DBCA43" w14:textId="4FEB1E3E" w:rsidR="00011AD9" w:rsidRPr="007B78C1" w:rsidRDefault="00011AD9" w:rsidP="00894810">
            <w:pPr>
              <w:pStyle w:val="ListParagraph"/>
              <w:suppressLineNumbers/>
              <w:suppressAutoHyphens/>
              <w:adjustRightInd w:val="0"/>
              <w:snapToGrid w:val="0"/>
              <w:ind w:left="0"/>
              <w:contextualSpacing w:val="0"/>
              <w:rPr>
                <w:bCs/>
                <w:kern w:val="22"/>
              </w:rPr>
            </w:pPr>
          </w:p>
          <w:p w14:paraId="09F40951" w14:textId="72162544" w:rsidR="00011AD9" w:rsidRPr="007B78C1" w:rsidRDefault="00011AD9" w:rsidP="00894810">
            <w:pPr>
              <w:pStyle w:val="ListParagraph"/>
              <w:suppressLineNumbers/>
              <w:suppressAutoHyphens/>
              <w:adjustRightInd w:val="0"/>
              <w:snapToGrid w:val="0"/>
              <w:ind w:left="0"/>
              <w:contextualSpacing w:val="0"/>
              <w:rPr>
                <w:bCs/>
                <w:kern w:val="22"/>
              </w:rPr>
            </w:pPr>
          </w:p>
          <w:p w14:paraId="56A08E6C" w14:textId="3F3DCD88" w:rsidR="00011AD9" w:rsidRPr="007B78C1" w:rsidRDefault="00011AD9" w:rsidP="00894810">
            <w:pPr>
              <w:pStyle w:val="ListParagraph"/>
              <w:suppressLineNumbers/>
              <w:suppressAutoHyphens/>
              <w:adjustRightInd w:val="0"/>
              <w:snapToGrid w:val="0"/>
              <w:ind w:left="0"/>
              <w:contextualSpacing w:val="0"/>
            </w:pPr>
            <w:r w:rsidRPr="007B78C1">
              <w:rPr>
                <w:b/>
                <w:kern w:val="22"/>
              </w:rPr>
              <w:t>7. Current text:</w:t>
            </w:r>
            <w:r w:rsidRPr="007B78C1">
              <w:t xml:space="preserve"> Type of organization (academic and research institute; financial institution; company/corporation (specify the sector); indigenous peoples and local communities; national or regional initiative; non-governmental organization; private foundation; subnational or local government; regional organization; intergovernmental organization/initiative; United Nations system entity; youth organization; other (please specify)).</w:t>
            </w:r>
          </w:p>
          <w:p w14:paraId="4102ABC7" w14:textId="1E84D52D" w:rsidR="00011AD9" w:rsidRPr="007B78C1" w:rsidRDefault="00011AD9" w:rsidP="00894810">
            <w:pPr>
              <w:pStyle w:val="ListParagraph"/>
              <w:suppressLineNumbers/>
              <w:suppressAutoHyphens/>
              <w:adjustRightInd w:val="0"/>
              <w:snapToGrid w:val="0"/>
              <w:ind w:left="0"/>
              <w:contextualSpacing w:val="0"/>
            </w:pPr>
          </w:p>
          <w:p w14:paraId="474991EB" w14:textId="15E98EE7" w:rsidR="00011AD9" w:rsidRPr="007B78C1" w:rsidRDefault="00011AD9" w:rsidP="00011AD9">
            <w:pPr>
              <w:suppressLineNumbers/>
              <w:suppressAutoHyphens/>
              <w:adjustRightInd w:val="0"/>
              <w:snapToGrid w:val="0"/>
              <w:rPr>
                <w:b/>
                <w:bCs/>
                <w:lang w:val="en-GB"/>
              </w:rPr>
            </w:pPr>
            <w:r w:rsidRPr="007B78C1">
              <w:rPr>
                <w:b/>
                <w:bCs/>
                <w:lang w:val="en-GB"/>
              </w:rPr>
              <w:t xml:space="preserve">Suggested amendment: </w:t>
            </w:r>
          </w:p>
          <w:p w14:paraId="3C1C0105" w14:textId="57C065EF" w:rsidR="00011AD9" w:rsidRPr="007B78C1" w:rsidRDefault="00011AD9" w:rsidP="00011AD9">
            <w:pPr>
              <w:suppressLineNumbers/>
              <w:suppressAutoHyphens/>
              <w:adjustRightInd w:val="0"/>
              <w:snapToGrid w:val="0"/>
            </w:pPr>
            <w:r w:rsidRPr="007B78C1">
              <w:t>7. Type of organization (academic and research institute; financial institution; company/corporation/</w:t>
            </w:r>
            <w:r w:rsidRPr="007B78C1">
              <w:rPr>
                <w:b/>
                <w:bCs/>
                <w:u w:val="single"/>
              </w:rPr>
              <w:t>business organization</w:t>
            </w:r>
            <w:r w:rsidRPr="007B78C1">
              <w:t xml:space="preserve"> (specify the sector); indigenous peoples and local communities; national or regional initiative; non-governmental organization; private foundation; subnational or local government; regional organization; intergovernmental organization/initiative; United Nations system entity; youth organization; business or multi-stakeholder initiative; other (please specify)).</w:t>
            </w:r>
          </w:p>
          <w:p w14:paraId="38F6602D" w14:textId="77777777" w:rsidR="007B78C1" w:rsidRPr="007B78C1" w:rsidRDefault="007B78C1" w:rsidP="00011AD9">
            <w:pPr>
              <w:suppressLineNumbers/>
              <w:suppressAutoHyphens/>
              <w:adjustRightInd w:val="0"/>
              <w:snapToGrid w:val="0"/>
              <w:rPr>
                <w:b/>
              </w:rPr>
            </w:pPr>
          </w:p>
          <w:p w14:paraId="7ADC7394" w14:textId="764AFA5C" w:rsidR="00011AD9" w:rsidRPr="007B78C1" w:rsidRDefault="00011AD9" w:rsidP="00011AD9">
            <w:pPr>
              <w:suppressLineNumbers/>
              <w:suppressAutoHyphens/>
              <w:adjustRightInd w:val="0"/>
              <w:snapToGrid w:val="0"/>
              <w:rPr>
                <w:b/>
                <w:bCs/>
                <w:lang w:val="en-GB"/>
              </w:rPr>
            </w:pPr>
            <w:r w:rsidRPr="007B78C1">
              <w:rPr>
                <w:b/>
                <w:bCs/>
                <w:i/>
                <w:iCs/>
              </w:rPr>
              <w:t>Justification:</w:t>
            </w:r>
            <w:r w:rsidRPr="007B78C1">
              <w:rPr>
                <w:i/>
                <w:iCs/>
              </w:rPr>
              <w:t xml:space="preserve"> Extending the list to include “business or multi-stakeholder initiatives” would allow groups of company commitments to be included in bulk. As with the others in the list, it will be necessary to avoid double-counting efforts that are featured in multiple sites, but this will position the CBD Action Agenda as a central repository that will benefit us all.</w:t>
            </w:r>
          </w:p>
          <w:p w14:paraId="530051C3" w14:textId="25A1A0F3" w:rsidR="006C085B" w:rsidRPr="007B78C1" w:rsidRDefault="006C085B" w:rsidP="00894810">
            <w:pPr>
              <w:pStyle w:val="ListParagraph"/>
              <w:suppressLineNumbers/>
              <w:suppressAutoHyphens/>
              <w:adjustRightInd w:val="0"/>
              <w:snapToGrid w:val="0"/>
              <w:ind w:left="0"/>
              <w:contextualSpacing w:val="0"/>
              <w:rPr>
                <w:kern w:val="22"/>
              </w:rPr>
            </w:pPr>
          </w:p>
        </w:tc>
      </w:tr>
      <w:tr w:rsidR="007B78C1" w:rsidRPr="007B78C1" w14:paraId="24DB3F17" w14:textId="77777777" w:rsidTr="00D3167F">
        <w:tc>
          <w:tcPr>
            <w:tcW w:w="1710" w:type="dxa"/>
          </w:tcPr>
          <w:p w14:paraId="0F52FA70" w14:textId="77777777" w:rsidR="00F122C1" w:rsidRPr="007B78C1" w:rsidRDefault="00F122C1" w:rsidP="00894810">
            <w:pPr>
              <w:pStyle w:val="ListParagraph"/>
              <w:suppressLineNumbers/>
              <w:suppressAutoHyphens/>
              <w:adjustRightInd w:val="0"/>
              <w:snapToGrid w:val="0"/>
              <w:ind w:left="0"/>
              <w:contextualSpacing w:val="0"/>
              <w:rPr>
                <w:bCs/>
                <w:kern w:val="22"/>
              </w:rPr>
            </w:pPr>
            <w:r w:rsidRPr="007B78C1">
              <w:rPr>
                <w:bCs/>
                <w:kern w:val="22"/>
              </w:rPr>
              <w:lastRenderedPageBreak/>
              <w:t>2</w:t>
            </w:r>
          </w:p>
        </w:tc>
        <w:tc>
          <w:tcPr>
            <w:tcW w:w="7830" w:type="dxa"/>
          </w:tcPr>
          <w:p w14:paraId="1AB2FDCB" w14:textId="023FF4AC" w:rsidR="00F122C1" w:rsidRPr="007B78C1" w:rsidRDefault="00F122C1" w:rsidP="00894810">
            <w:pPr>
              <w:pStyle w:val="ListParagraph"/>
              <w:suppressLineNumbers/>
              <w:suppressAutoHyphens/>
              <w:adjustRightInd w:val="0"/>
              <w:snapToGrid w:val="0"/>
              <w:ind w:left="0"/>
              <w:contextualSpacing w:val="0"/>
              <w:rPr>
                <w:bCs/>
                <w:kern w:val="22"/>
              </w:rPr>
            </w:pPr>
            <w:r w:rsidRPr="007B78C1">
              <w:rPr>
                <w:bCs/>
                <w:kern w:val="22"/>
              </w:rPr>
              <w:t>Please provide comments on section 2 which includes the section on specific commitments from actors other than national governments.</w:t>
            </w:r>
          </w:p>
          <w:p w14:paraId="6A9A0AB4" w14:textId="32997947" w:rsidR="00011AD9" w:rsidRPr="007B78C1" w:rsidRDefault="00011AD9" w:rsidP="00894810">
            <w:pPr>
              <w:pStyle w:val="ListParagraph"/>
              <w:suppressLineNumbers/>
              <w:suppressAutoHyphens/>
              <w:adjustRightInd w:val="0"/>
              <w:snapToGrid w:val="0"/>
              <w:ind w:left="0"/>
              <w:contextualSpacing w:val="0"/>
              <w:rPr>
                <w:bCs/>
                <w:kern w:val="22"/>
              </w:rPr>
            </w:pPr>
          </w:p>
          <w:p w14:paraId="680D817E" w14:textId="603D0E18" w:rsidR="00011AD9" w:rsidRPr="007B78C1" w:rsidRDefault="00011AD9" w:rsidP="00011AD9">
            <w:pPr>
              <w:spacing w:after="120"/>
              <w:jc w:val="both"/>
              <w:rPr>
                <w:bCs/>
                <w:kern w:val="22"/>
              </w:rPr>
            </w:pPr>
            <w:r w:rsidRPr="007B78C1">
              <w:rPr>
                <w:b/>
                <w:kern w:val="22"/>
              </w:rPr>
              <w:t>8. Current text:</w:t>
            </w:r>
            <w:r w:rsidRPr="007B78C1">
              <w:rPr>
                <w:bCs/>
                <w:kern w:val="22"/>
              </w:rPr>
              <w:t xml:space="preserve"> </w:t>
            </w:r>
            <w:r w:rsidRPr="007B78C1">
              <w:t>Title (the title or name of the commitment/action).</w:t>
            </w:r>
          </w:p>
          <w:p w14:paraId="60FCBE69" w14:textId="77777777" w:rsidR="00011AD9" w:rsidRPr="007B78C1" w:rsidRDefault="00011AD9" w:rsidP="00011AD9">
            <w:pPr>
              <w:suppressLineNumbers/>
              <w:suppressAutoHyphens/>
              <w:adjustRightInd w:val="0"/>
              <w:snapToGrid w:val="0"/>
              <w:rPr>
                <w:b/>
                <w:bCs/>
                <w:lang w:val="en-GB"/>
              </w:rPr>
            </w:pPr>
            <w:r w:rsidRPr="007B78C1">
              <w:rPr>
                <w:b/>
                <w:bCs/>
                <w:lang w:val="en-GB"/>
              </w:rPr>
              <w:t xml:space="preserve">Suggested amendment: </w:t>
            </w:r>
          </w:p>
          <w:p w14:paraId="6F9FF0F8" w14:textId="77777777" w:rsidR="00011AD9" w:rsidRPr="007B78C1" w:rsidRDefault="00011AD9" w:rsidP="00011AD9">
            <w:pPr>
              <w:pStyle w:val="Para3"/>
              <w:numPr>
                <w:ilvl w:val="0"/>
                <w:numId w:val="0"/>
              </w:numPr>
              <w:spacing w:before="120" w:after="120"/>
              <w:rPr>
                <w:color w:val="auto"/>
                <w:sz w:val="24"/>
                <w:szCs w:val="24"/>
              </w:rPr>
            </w:pPr>
            <w:r w:rsidRPr="007B78C1">
              <w:rPr>
                <w:color w:val="auto"/>
                <w:sz w:val="24"/>
                <w:szCs w:val="24"/>
              </w:rPr>
              <w:t xml:space="preserve">8. </w:t>
            </w:r>
            <w:r w:rsidRPr="007B78C1">
              <w:rPr>
                <w:color w:val="auto"/>
                <w:sz w:val="24"/>
                <w:szCs w:val="24"/>
                <w:u w:val="single"/>
              </w:rPr>
              <w:t>Identification:</w:t>
            </w:r>
            <w:r w:rsidRPr="007B78C1">
              <w:rPr>
                <w:color w:val="auto"/>
                <w:sz w:val="24"/>
                <w:szCs w:val="24"/>
              </w:rPr>
              <w:t xml:space="preserve"> </w:t>
            </w:r>
          </w:p>
          <w:p w14:paraId="65EC3D26" w14:textId="77777777" w:rsidR="00011AD9" w:rsidRPr="007B78C1" w:rsidRDefault="00011AD9" w:rsidP="00011AD9">
            <w:pPr>
              <w:pStyle w:val="Para3"/>
              <w:numPr>
                <w:ilvl w:val="0"/>
                <w:numId w:val="4"/>
              </w:numPr>
              <w:spacing w:before="120" w:after="120" w:line="240" w:lineRule="auto"/>
              <w:rPr>
                <w:rFonts w:eastAsiaTheme="minorEastAsia"/>
                <w:color w:val="auto"/>
                <w:sz w:val="24"/>
                <w:szCs w:val="24"/>
              </w:rPr>
            </w:pPr>
            <w:r w:rsidRPr="007B78C1">
              <w:rPr>
                <w:color w:val="auto"/>
                <w:sz w:val="24"/>
                <w:szCs w:val="24"/>
              </w:rPr>
              <w:t>Title (the title or name of the commitment/action).</w:t>
            </w:r>
          </w:p>
          <w:p w14:paraId="32F2B9BD" w14:textId="77777777" w:rsidR="00011AD9" w:rsidRPr="007B78C1" w:rsidRDefault="00011AD9" w:rsidP="00011AD9">
            <w:pPr>
              <w:pStyle w:val="Para3"/>
              <w:numPr>
                <w:ilvl w:val="0"/>
                <w:numId w:val="4"/>
              </w:numPr>
              <w:spacing w:before="120" w:after="120" w:line="240" w:lineRule="auto"/>
              <w:rPr>
                <w:rFonts w:eastAsiaTheme="minorEastAsia"/>
                <w:color w:val="auto"/>
                <w:sz w:val="24"/>
                <w:szCs w:val="24"/>
                <w:u w:val="single"/>
              </w:rPr>
            </w:pPr>
            <w:r w:rsidRPr="007B78C1">
              <w:rPr>
                <w:color w:val="auto"/>
                <w:sz w:val="24"/>
                <w:szCs w:val="24"/>
                <w:u w:val="single"/>
              </w:rPr>
              <w:t>Is the commitment pledged at the head of organization level?</w:t>
            </w:r>
          </w:p>
          <w:p w14:paraId="24CC66D2" w14:textId="77777777" w:rsidR="00011AD9" w:rsidRPr="007B78C1" w:rsidRDefault="00011AD9" w:rsidP="00011AD9">
            <w:pPr>
              <w:pStyle w:val="Para3"/>
              <w:numPr>
                <w:ilvl w:val="0"/>
                <w:numId w:val="4"/>
              </w:numPr>
              <w:spacing w:before="120" w:after="120" w:line="240" w:lineRule="auto"/>
              <w:rPr>
                <w:rFonts w:eastAsiaTheme="minorEastAsia"/>
                <w:color w:val="auto"/>
                <w:sz w:val="24"/>
                <w:szCs w:val="24"/>
                <w:u w:val="single"/>
              </w:rPr>
            </w:pPr>
            <w:r w:rsidRPr="007B78C1">
              <w:rPr>
                <w:color w:val="auto"/>
                <w:sz w:val="24"/>
                <w:szCs w:val="24"/>
                <w:u w:val="single"/>
              </w:rPr>
              <w:t>Is the commitment open to more organizations participating?</w:t>
            </w:r>
          </w:p>
          <w:p w14:paraId="1AD370B1" w14:textId="2D062379" w:rsidR="00011AD9" w:rsidRPr="007B78C1" w:rsidRDefault="00011AD9" w:rsidP="00011AD9">
            <w:pPr>
              <w:spacing w:after="120"/>
              <w:jc w:val="both"/>
              <w:rPr>
                <w:bCs/>
                <w:kern w:val="22"/>
              </w:rPr>
            </w:pPr>
          </w:p>
          <w:p w14:paraId="5F8BA6BB" w14:textId="0B884E1C" w:rsidR="00011AD9" w:rsidRPr="007B78C1" w:rsidRDefault="00011AD9" w:rsidP="007B78C1">
            <w:pPr>
              <w:spacing w:after="120"/>
              <w:rPr>
                <w:bCs/>
                <w:kern w:val="22"/>
              </w:rPr>
            </w:pPr>
            <w:r w:rsidRPr="007B78C1">
              <w:rPr>
                <w:b/>
                <w:bCs/>
                <w:i/>
                <w:iCs/>
              </w:rPr>
              <w:t>Justification:</w:t>
            </w:r>
            <w:r w:rsidRPr="007B78C1">
              <w:rPr>
                <w:i/>
                <w:iCs/>
              </w:rPr>
              <w:t xml:space="preserve">  In order to ensure that the commitments are signed at the just organizational level, it is needed to clarify at what level of leadership the commitment is pledged. Also, information should be available on the commitment being open for others to join.</w:t>
            </w:r>
          </w:p>
          <w:p w14:paraId="0941F30A" w14:textId="77777777" w:rsidR="00011AD9" w:rsidRPr="007B78C1" w:rsidRDefault="00011AD9" w:rsidP="00011AD9">
            <w:pPr>
              <w:spacing w:after="120"/>
              <w:jc w:val="both"/>
              <w:rPr>
                <w:bCs/>
                <w:kern w:val="22"/>
              </w:rPr>
            </w:pPr>
          </w:p>
          <w:p w14:paraId="495F1F02" w14:textId="3C970906" w:rsidR="00011AD9" w:rsidRPr="007B78C1" w:rsidRDefault="00011AD9" w:rsidP="007B78C1">
            <w:pPr>
              <w:spacing w:after="120"/>
            </w:pPr>
            <w:r w:rsidRPr="007B78C1">
              <w:rPr>
                <w:b/>
                <w:kern w:val="22"/>
              </w:rPr>
              <w:t>9. Current text:</w:t>
            </w:r>
            <w:r w:rsidRPr="007B78C1">
              <w:rPr>
                <w:bCs/>
                <w:kern w:val="22"/>
              </w:rPr>
              <w:t xml:space="preserve"> </w:t>
            </w:r>
            <w:r w:rsidRPr="007B78C1">
              <w:t xml:space="preserve">9 (a) </w:t>
            </w:r>
            <w:r w:rsidRPr="007B78C1">
              <w:rPr>
                <w:lang w:val="en-GB"/>
              </w:rPr>
              <w:t>Primary target (single selection of the most relevant target</w:t>
            </w:r>
            <w:proofErr w:type="gramStart"/>
            <w:r w:rsidRPr="007B78C1">
              <w:rPr>
                <w:lang w:val="en-GB"/>
              </w:rPr>
              <w:t>);</w:t>
            </w:r>
            <w:proofErr w:type="gramEnd"/>
          </w:p>
          <w:p w14:paraId="358B8313" w14:textId="77777777" w:rsidR="00011AD9" w:rsidRPr="007B78C1" w:rsidRDefault="00011AD9" w:rsidP="00011AD9">
            <w:pPr>
              <w:suppressLineNumbers/>
              <w:suppressAutoHyphens/>
              <w:adjustRightInd w:val="0"/>
              <w:snapToGrid w:val="0"/>
              <w:rPr>
                <w:b/>
                <w:bCs/>
                <w:lang w:val="en-GB"/>
              </w:rPr>
            </w:pPr>
            <w:r w:rsidRPr="007B78C1">
              <w:rPr>
                <w:b/>
                <w:bCs/>
                <w:lang w:val="en-GB"/>
              </w:rPr>
              <w:t xml:space="preserve">Suggested amendment: </w:t>
            </w:r>
          </w:p>
          <w:p w14:paraId="0BFCCA87" w14:textId="77777777" w:rsidR="00011AD9" w:rsidRPr="007B78C1" w:rsidRDefault="00011AD9" w:rsidP="007B78C1">
            <w:pPr>
              <w:pStyle w:val="Para3"/>
              <w:numPr>
                <w:ilvl w:val="0"/>
                <w:numId w:val="0"/>
              </w:numPr>
              <w:spacing w:before="120" w:after="120"/>
              <w:jc w:val="left"/>
              <w:rPr>
                <w:color w:val="auto"/>
                <w:sz w:val="24"/>
                <w:szCs w:val="24"/>
              </w:rPr>
            </w:pPr>
            <w:r w:rsidRPr="007B78C1">
              <w:rPr>
                <w:color w:val="auto"/>
                <w:sz w:val="24"/>
                <w:szCs w:val="24"/>
              </w:rPr>
              <w:t xml:space="preserve">9 (a) </w:t>
            </w:r>
            <w:r w:rsidRPr="007B78C1">
              <w:rPr>
                <w:color w:val="auto"/>
                <w:sz w:val="24"/>
                <w:szCs w:val="24"/>
                <w:lang w:val="en-GB"/>
              </w:rPr>
              <w:t xml:space="preserve">Primary </w:t>
            </w:r>
            <w:r w:rsidRPr="007B78C1">
              <w:rPr>
                <w:color w:val="auto"/>
                <w:sz w:val="24"/>
                <w:szCs w:val="24"/>
                <w:u w:val="single"/>
                <w:lang w:val="en-GB"/>
              </w:rPr>
              <w:t>focus of the commitment in terms of Post-2020 GFB mission, goal or</w:t>
            </w:r>
            <w:r w:rsidRPr="007B78C1">
              <w:rPr>
                <w:color w:val="auto"/>
                <w:sz w:val="24"/>
                <w:szCs w:val="24"/>
                <w:lang w:val="en-GB"/>
              </w:rPr>
              <w:t xml:space="preserve"> target (single selection of the most relevant </w:t>
            </w:r>
            <w:r w:rsidRPr="007B78C1">
              <w:rPr>
                <w:color w:val="auto"/>
                <w:sz w:val="24"/>
                <w:szCs w:val="24"/>
                <w:u w:val="single"/>
                <w:lang w:val="en-GB"/>
              </w:rPr>
              <w:t>focus</w:t>
            </w:r>
            <w:r w:rsidRPr="007B78C1">
              <w:rPr>
                <w:color w:val="auto"/>
                <w:sz w:val="24"/>
                <w:szCs w:val="24"/>
                <w:lang w:val="en-GB"/>
              </w:rPr>
              <w:t xml:space="preserve"> </w:t>
            </w:r>
            <w:r w:rsidRPr="007B78C1">
              <w:rPr>
                <w:strike/>
                <w:color w:val="auto"/>
                <w:sz w:val="24"/>
                <w:szCs w:val="24"/>
                <w:lang w:val="en-GB"/>
              </w:rPr>
              <w:t>target</w:t>
            </w:r>
            <w:proofErr w:type="gramStart"/>
            <w:r w:rsidRPr="007B78C1">
              <w:rPr>
                <w:color w:val="auto"/>
                <w:sz w:val="24"/>
                <w:szCs w:val="24"/>
                <w:lang w:val="en-GB"/>
              </w:rPr>
              <w:t>);</w:t>
            </w:r>
            <w:proofErr w:type="gramEnd"/>
          </w:p>
          <w:p w14:paraId="44CE7A20" w14:textId="2156362A" w:rsidR="00011AD9" w:rsidRPr="007B78C1" w:rsidRDefault="00011AD9" w:rsidP="00894810">
            <w:pPr>
              <w:pStyle w:val="ListParagraph"/>
              <w:suppressLineNumbers/>
              <w:suppressAutoHyphens/>
              <w:adjustRightInd w:val="0"/>
              <w:snapToGrid w:val="0"/>
              <w:ind w:left="0"/>
              <w:contextualSpacing w:val="0"/>
              <w:rPr>
                <w:bCs/>
                <w:kern w:val="22"/>
              </w:rPr>
            </w:pPr>
          </w:p>
          <w:p w14:paraId="0368A1FC" w14:textId="601AE0EA" w:rsidR="00011AD9" w:rsidRPr="007B78C1" w:rsidRDefault="00011AD9" w:rsidP="007B78C1">
            <w:pPr>
              <w:pStyle w:val="ListParagraph"/>
              <w:suppressLineNumbers/>
              <w:suppressAutoHyphens/>
              <w:adjustRightInd w:val="0"/>
              <w:snapToGrid w:val="0"/>
              <w:ind w:left="0"/>
              <w:contextualSpacing w:val="0"/>
              <w:rPr>
                <w:bCs/>
                <w:kern w:val="22"/>
              </w:rPr>
            </w:pPr>
            <w:r w:rsidRPr="007B78C1">
              <w:rPr>
                <w:b/>
                <w:bCs/>
                <w:i/>
                <w:iCs/>
              </w:rPr>
              <w:t>Justification:</w:t>
            </w:r>
            <w:r w:rsidRPr="007B78C1">
              <w:rPr>
                <w:i/>
                <w:iCs/>
              </w:rPr>
              <w:t xml:space="preserve"> Focusing on a single target is not possible for many existing commitments and is promoting a fragmented approach rather than a more holistic and strategic approach. This can be changed by including a primary focus on the mission or one of the goals or targets. Adding the option of committing towards the GBF mission overall (</w:t>
            </w:r>
            <w:proofErr w:type="gramStart"/>
            <w:r w:rsidRPr="007B78C1">
              <w:rPr>
                <w:i/>
                <w:iCs/>
              </w:rPr>
              <w:t>i.e.</w:t>
            </w:r>
            <w:proofErr w:type="gramEnd"/>
            <w:r w:rsidRPr="007B78C1">
              <w:rPr>
                <w:i/>
                <w:iCs/>
              </w:rPr>
              <w:t xml:space="preserve"> a global goal for nature “Nature positive by 2030”) could accelerate the number of commitments, as such an engaging global goal could potentially mobilize many more non-state parties to commit.</w:t>
            </w:r>
          </w:p>
          <w:p w14:paraId="1ADE44A2" w14:textId="77777777" w:rsidR="00757EBE" w:rsidRPr="007B78C1" w:rsidRDefault="00757EBE" w:rsidP="007B78C1">
            <w:pPr>
              <w:pStyle w:val="ListParagraph"/>
              <w:suppressLineNumbers/>
              <w:suppressAutoHyphens/>
              <w:adjustRightInd w:val="0"/>
              <w:snapToGrid w:val="0"/>
              <w:ind w:left="0"/>
              <w:contextualSpacing w:val="0"/>
              <w:rPr>
                <w:kern w:val="22"/>
              </w:rPr>
            </w:pPr>
          </w:p>
          <w:p w14:paraId="319053D6" w14:textId="77777777" w:rsidR="00011AD9" w:rsidRPr="007B78C1" w:rsidRDefault="00011AD9" w:rsidP="007B78C1">
            <w:pPr>
              <w:spacing w:after="120"/>
            </w:pPr>
            <w:r w:rsidRPr="007B78C1">
              <w:rPr>
                <w:b/>
                <w:kern w:val="22"/>
              </w:rPr>
              <w:t>13. Current text:</w:t>
            </w:r>
            <w:r w:rsidRPr="007B78C1">
              <w:rPr>
                <w:bCs/>
                <w:kern w:val="22"/>
              </w:rPr>
              <w:t xml:space="preserve"> </w:t>
            </w:r>
            <w:r w:rsidRPr="007B78C1">
              <w:t xml:space="preserve">13. </w:t>
            </w:r>
            <w:r w:rsidRPr="007B78C1">
              <w:rPr>
                <w:lang w:val="en-GB"/>
              </w:rPr>
              <w:t>Sustainable Development Goal(s) to which the commitment contributes (optional).</w:t>
            </w:r>
          </w:p>
          <w:p w14:paraId="0B567E33" w14:textId="77777777" w:rsidR="00011AD9" w:rsidRPr="007B78C1" w:rsidRDefault="00011AD9" w:rsidP="007B78C1">
            <w:pPr>
              <w:pStyle w:val="ListParagraph"/>
              <w:suppressLineNumbers/>
              <w:suppressAutoHyphens/>
              <w:adjustRightInd w:val="0"/>
              <w:snapToGrid w:val="0"/>
              <w:ind w:left="0"/>
              <w:contextualSpacing w:val="0"/>
              <w:rPr>
                <w:kern w:val="22"/>
              </w:rPr>
            </w:pPr>
          </w:p>
          <w:p w14:paraId="10340F2C" w14:textId="0B2CA175" w:rsidR="00011AD9" w:rsidRPr="007B78C1" w:rsidRDefault="00011AD9" w:rsidP="007B78C1">
            <w:pPr>
              <w:suppressLineNumbers/>
              <w:suppressAutoHyphens/>
              <w:adjustRightInd w:val="0"/>
              <w:snapToGrid w:val="0"/>
              <w:rPr>
                <w:b/>
                <w:bCs/>
                <w:lang w:val="en-GB"/>
              </w:rPr>
            </w:pPr>
            <w:r w:rsidRPr="007B78C1">
              <w:rPr>
                <w:b/>
                <w:bCs/>
                <w:lang w:val="en-GB"/>
              </w:rPr>
              <w:t xml:space="preserve">Suggested amendment: </w:t>
            </w:r>
          </w:p>
          <w:p w14:paraId="49C327C3" w14:textId="77777777" w:rsidR="00011AD9" w:rsidRPr="007B78C1" w:rsidRDefault="00011AD9" w:rsidP="007B78C1">
            <w:pPr>
              <w:spacing w:after="120"/>
            </w:pPr>
            <w:r w:rsidRPr="007B78C1">
              <w:t xml:space="preserve">13. </w:t>
            </w:r>
            <w:r w:rsidRPr="007B78C1">
              <w:rPr>
                <w:lang w:val="en-GB"/>
              </w:rPr>
              <w:t xml:space="preserve">Sustainable Development Goal(s) to which the commitment contributes </w:t>
            </w:r>
            <w:r w:rsidRPr="007B78C1">
              <w:rPr>
                <w:strike/>
                <w:lang w:val="en-GB"/>
              </w:rPr>
              <w:t>(optional)</w:t>
            </w:r>
            <w:r w:rsidRPr="007B78C1">
              <w:rPr>
                <w:lang w:val="en-GB"/>
              </w:rPr>
              <w:t>.</w:t>
            </w:r>
          </w:p>
          <w:p w14:paraId="5ED933B6" w14:textId="77777777" w:rsidR="00011AD9" w:rsidRPr="007B78C1" w:rsidRDefault="00011AD9" w:rsidP="007B78C1">
            <w:pPr>
              <w:pStyle w:val="Para3"/>
              <w:numPr>
                <w:ilvl w:val="0"/>
                <w:numId w:val="0"/>
              </w:numPr>
              <w:spacing w:before="120" w:after="120"/>
              <w:jc w:val="left"/>
              <w:rPr>
                <w:color w:val="auto"/>
                <w:sz w:val="24"/>
                <w:szCs w:val="24"/>
                <w:u w:val="single"/>
              </w:rPr>
            </w:pPr>
            <w:r w:rsidRPr="007B78C1">
              <w:rPr>
                <w:color w:val="auto"/>
                <w:sz w:val="24"/>
                <w:szCs w:val="24"/>
                <w:u w:val="single"/>
              </w:rPr>
              <w:t>13 bis. Region to which the commitment contributes.</w:t>
            </w:r>
            <w:r w:rsidRPr="007B78C1">
              <w:rPr>
                <w:color w:val="auto"/>
                <w:sz w:val="24"/>
                <w:szCs w:val="24"/>
              </w:rPr>
              <w:br/>
            </w:r>
          </w:p>
          <w:p w14:paraId="4A3AB874" w14:textId="32C599B2" w:rsidR="00011AD9" w:rsidRPr="007B78C1" w:rsidRDefault="00011AD9" w:rsidP="007B78C1">
            <w:pPr>
              <w:suppressLineNumbers/>
              <w:suppressAutoHyphens/>
              <w:adjustRightInd w:val="0"/>
              <w:snapToGrid w:val="0"/>
              <w:rPr>
                <w:u w:val="single"/>
              </w:rPr>
            </w:pPr>
            <w:r w:rsidRPr="007B78C1">
              <w:rPr>
                <w:u w:val="single"/>
              </w:rPr>
              <w:t>13 ter. Sector that the commitment is focusing on.</w:t>
            </w:r>
          </w:p>
          <w:p w14:paraId="61A617E8" w14:textId="3BEFFBBE" w:rsidR="00011AD9" w:rsidRPr="007B78C1" w:rsidRDefault="00011AD9" w:rsidP="00011AD9">
            <w:pPr>
              <w:suppressLineNumbers/>
              <w:suppressAutoHyphens/>
              <w:adjustRightInd w:val="0"/>
              <w:snapToGrid w:val="0"/>
              <w:rPr>
                <w:b/>
                <w:u w:val="single"/>
              </w:rPr>
            </w:pPr>
          </w:p>
          <w:p w14:paraId="00998769" w14:textId="1CEC8364" w:rsidR="00011AD9" w:rsidRPr="007B78C1" w:rsidRDefault="00011AD9" w:rsidP="00011AD9">
            <w:pPr>
              <w:suppressLineNumbers/>
              <w:suppressAutoHyphens/>
              <w:adjustRightInd w:val="0"/>
              <w:snapToGrid w:val="0"/>
              <w:rPr>
                <w:b/>
                <w:bCs/>
                <w:lang w:val="en-GB"/>
              </w:rPr>
            </w:pPr>
            <w:r w:rsidRPr="007B78C1">
              <w:rPr>
                <w:b/>
                <w:bCs/>
                <w:i/>
                <w:iCs/>
              </w:rPr>
              <w:lastRenderedPageBreak/>
              <w:t>Justification:</w:t>
            </w:r>
            <w:r w:rsidRPr="007B78C1">
              <w:rPr>
                <w:i/>
                <w:iCs/>
              </w:rPr>
              <w:t xml:space="preserve"> </w:t>
            </w:r>
            <w:proofErr w:type="gramStart"/>
            <w:r w:rsidRPr="007B78C1">
              <w:rPr>
                <w:i/>
                <w:iCs/>
              </w:rPr>
              <w:t>In order to</w:t>
            </w:r>
            <w:proofErr w:type="gramEnd"/>
            <w:r w:rsidRPr="007B78C1">
              <w:rPr>
                <w:i/>
                <w:iCs/>
              </w:rPr>
              <w:t xml:space="preserve"> promote alignment and consistency, and to allow aggregation of commitments, it is needed that all commitments are linked to SDGs, regions and sectors, as appropriate.</w:t>
            </w:r>
          </w:p>
          <w:p w14:paraId="7D5E471E" w14:textId="44C31702" w:rsidR="00011AD9" w:rsidRPr="007B78C1" w:rsidRDefault="00011AD9" w:rsidP="00011AD9">
            <w:pPr>
              <w:pStyle w:val="ListParagraph"/>
              <w:suppressLineNumbers/>
              <w:suppressAutoHyphens/>
              <w:adjustRightInd w:val="0"/>
              <w:snapToGrid w:val="0"/>
              <w:ind w:left="0"/>
              <w:contextualSpacing w:val="0"/>
              <w:rPr>
                <w:kern w:val="22"/>
              </w:rPr>
            </w:pPr>
          </w:p>
        </w:tc>
      </w:tr>
      <w:tr w:rsidR="007B78C1" w:rsidRPr="007B78C1" w14:paraId="46F5F04D" w14:textId="77777777" w:rsidTr="00D3167F">
        <w:tc>
          <w:tcPr>
            <w:tcW w:w="1710" w:type="dxa"/>
          </w:tcPr>
          <w:p w14:paraId="0A100C22" w14:textId="77777777" w:rsidR="00F122C1" w:rsidRPr="007B78C1" w:rsidRDefault="00F122C1" w:rsidP="00894810">
            <w:pPr>
              <w:pStyle w:val="ListParagraph"/>
              <w:suppressLineNumbers/>
              <w:suppressAutoHyphens/>
              <w:adjustRightInd w:val="0"/>
              <w:snapToGrid w:val="0"/>
              <w:ind w:left="0"/>
              <w:contextualSpacing w:val="0"/>
              <w:rPr>
                <w:bCs/>
                <w:kern w:val="22"/>
              </w:rPr>
            </w:pPr>
            <w:r w:rsidRPr="007B78C1">
              <w:rPr>
                <w:bCs/>
                <w:kern w:val="22"/>
              </w:rPr>
              <w:lastRenderedPageBreak/>
              <w:t>3</w:t>
            </w:r>
          </w:p>
        </w:tc>
        <w:tc>
          <w:tcPr>
            <w:tcW w:w="7830" w:type="dxa"/>
          </w:tcPr>
          <w:p w14:paraId="1B82E6EB" w14:textId="2F3EBC8B" w:rsidR="00BA327C" w:rsidRPr="007B78C1" w:rsidRDefault="00F122C1" w:rsidP="00D3167F">
            <w:pPr>
              <w:suppressLineNumbers/>
              <w:suppressAutoHyphens/>
              <w:adjustRightInd w:val="0"/>
              <w:snapToGrid w:val="0"/>
              <w:rPr>
                <w:bCs/>
                <w:kern w:val="22"/>
              </w:rPr>
            </w:pPr>
            <w:r w:rsidRPr="007B78C1">
              <w:rPr>
                <w:bCs/>
                <w:kern w:val="22"/>
              </w:rPr>
              <w:t>Please provide comments on section 3 on progress tracking.</w:t>
            </w:r>
          </w:p>
          <w:p w14:paraId="14D3DFF7" w14:textId="1F43B470" w:rsidR="00011AD9" w:rsidRPr="007B78C1" w:rsidRDefault="00011AD9" w:rsidP="00D3167F">
            <w:pPr>
              <w:suppressLineNumbers/>
              <w:suppressAutoHyphens/>
              <w:adjustRightInd w:val="0"/>
              <w:snapToGrid w:val="0"/>
              <w:rPr>
                <w:bCs/>
                <w:kern w:val="22"/>
              </w:rPr>
            </w:pPr>
          </w:p>
          <w:p w14:paraId="77A8A694" w14:textId="77777777" w:rsidR="00011AD9" w:rsidRPr="007B78C1" w:rsidRDefault="00011AD9" w:rsidP="007B78C1">
            <w:pPr>
              <w:pStyle w:val="Para3"/>
              <w:numPr>
                <w:ilvl w:val="0"/>
                <w:numId w:val="0"/>
              </w:numPr>
              <w:spacing w:before="120" w:after="120"/>
              <w:jc w:val="left"/>
              <w:rPr>
                <w:color w:val="auto"/>
                <w:sz w:val="24"/>
                <w:szCs w:val="24"/>
              </w:rPr>
            </w:pPr>
            <w:r w:rsidRPr="007B78C1">
              <w:rPr>
                <w:b/>
                <w:color w:val="auto"/>
                <w:kern w:val="22"/>
                <w:sz w:val="24"/>
                <w:szCs w:val="24"/>
              </w:rPr>
              <w:t>15. Current text:</w:t>
            </w:r>
            <w:r w:rsidRPr="007B78C1">
              <w:rPr>
                <w:bCs/>
                <w:color w:val="auto"/>
                <w:kern w:val="22"/>
                <w:sz w:val="24"/>
                <w:szCs w:val="24"/>
              </w:rPr>
              <w:t xml:space="preserve"> </w:t>
            </w:r>
            <w:r w:rsidRPr="007B78C1">
              <w:rPr>
                <w:color w:val="auto"/>
                <w:sz w:val="24"/>
                <w:szCs w:val="24"/>
              </w:rPr>
              <w:t xml:space="preserve">15. Timeline (start and end dates for the commitment): </w:t>
            </w:r>
          </w:p>
          <w:p w14:paraId="77066244" w14:textId="5D06A838" w:rsidR="00011AD9" w:rsidRPr="007B78C1" w:rsidRDefault="00011AD9" w:rsidP="007B78C1">
            <w:pPr>
              <w:pStyle w:val="Para3"/>
              <w:numPr>
                <w:ilvl w:val="0"/>
                <w:numId w:val="5"/>
              </w:numPr>
              <w:spacing w:before="120" w:after="120" w:line="240" w:lineRule="auto"/>
              <w:jc w:val="left"/>
              <w:rPr>
                <w:rFonts w:eastAsiaTheme="minorEastAsia"/>
                <w:color w:val="auto"/>
                <w:sz w:val="24"/>
                <w:szCs w:val="24"/>
              </w:rPr>
            </w:pPr>
            <w:r w:rsidRPr="007B78C1">
              <w:rPr>
                <w:color w:val="auto"/>
                <w:sz w:val="24"/>
                <w:szCs w:val="24"/>
              </w:rPr>
              <w:t>Is this a one-time or recurrent commitment? If recurrent, indicate the duration.</w:t>
            </w:r>
          </w:p>
          <w:p w14:paraId="47235407" w14:textId="77777777" w:rsidR="00011AD9" w:rsidRPr="007B78C1" w:rsidRDefault="00011AD9" w:rsidP="007B78C1">
            <w:pPr>
              <w:suppressLineNumbers/>
              <w:suppressAutoHyphens/>
              <w:adjustRightInd w:val="0"/>
              <w:snapToGrid w:val="0"/>
              <w:rPr>
                <w:b/>
                <w:bCs/>
                <w:lang w:val="en-GB"/>
              </w:rPr>
            </w:pPr>
            <w:r w:rsidRPr="007B78C1">
              <w:rPr>
                <w:b/>
                <w:bCs/>
                <w:lang w:val="en-GB"/>
              </w:rPr>
              <w:t xml:space="preserve">Suggested amendment: </w:t>
            </w:r>
          </w:p>
          <w:p w14:paraId="4E2B9D0B" w14:textId="77777777" w:rsidR="00011AD9" w:rsidRPr="007B78C1" w:rsidRDefault="00011AD9" w:rsidP="007B78C1">
            <w:pPr>
              <w:pStyle w:val="Para3"/>
              <w:numPr>
                <w:ilvl w:val="0"/>
                <w:numId w:val="0"/>
              </w:numPr>
              <w:spacing w:before="120" w:after="120"/>
              <w:jc w:val="left"/>
              <w:rPr>
                <w:color w:val="auto"/>
                <w:sz w:val="24"/>
                <w:szCs w:val="24"/>
              </w:rPr>
            </w:pPr>
            <w:r w:rsidRPr="007B78C1">
              <w:rPr>
                <w:color w:val="auto"/>
                <w:sz w:val="24"/>
                <w:szCs w:val="24"/>
              </w:rPr>
              <w:t xml:space="preserve">15. Timeline (start and end dates for the commitment): </w:t>
            </w:r>
          </w:p>
          <w:p w14:paraId="7A3491F9" w14:textId="77777777" w:rsidR="00011AD9" w:rsidRPr="007B78C1" w:rsidRDefault="00011AD9" w:rsidP="007B78C1">
            <w:pPr>
              <w:pStyle w:val="Para3"/>
              <w:numPr>
                <w:ilvl w:val="0"/>
                <w:numId w:val="6"/>
              </w:numPr>
              <w:spacing w:before="120" w:after="120" w:line="240" w:lineRule="auto"/>
              <w:jc w:val="left"/>
              <w:rPr>
                <w:color w:val="auto"/>
                <w:sz w:val="24"/>
                <w:szCs w:val="24"/>
                <w:u w:val="single"/>
              </w:rPr>
            </w:pPr>
            <w:r w:rsidRPr="007B78C1">
              <w:rPr>
                <w:color w:val="auto"/>
                <w:sz w:val="24"/>
                <w:szCs w:val="24"/>
                <w:u w:val="single"/>
              </w:rPr>
              <w:t>Is there a clear timeframe for the commitment?</w:t>
            </w:r>
          </w:p>
          <w:p w14:paraId="4DD0FBA3" w14:textId="77777777" w:rsidR="00011AD9" w:rsidRPr="007B78C1" w:rsidRDefault="00011AD9" w:rsidP="007B78C1">
            <w:pPr>
              <w:pStyle w:val="Para3"/>
              <w:numPr>
                <w:ilvl w:val="0"/>
                <w:numId w:val="6"/>
              </w:numPr>
              <w:spacing w:before="120" w:after="120" w:line="240" w:lineRule="auto"/>
              <w:jc w:val="left"/>
              <w:rPr>
                <w:rFonts w:eastAsiaTheme="minorEastAsia"/>
                <w:color w:val="auto"/>
                <w:sz w:val="24"/>
                <w:szCs w:val="24"/>
              </w:rPr>
            </w:pPr>
            <w:r w:rsidRPr="007B78C1">
              <w:rPr>
                <w:color w:val="auto"/>
                <w:sz w:val="24"/>
                <w:szCs w:val="24"/>
              </w:rPr>
              <w:t>Is this a one-time or recurrent commitment? If recurrent, indicate the duration.</w:t>
            </w:r>
          </w:p>
          <w:p w14:paraId="2C2FF6FF" w14:textId="5614DC66" w:rsidR="00011AD9" w:rsidRPr="007B78C1" w:rsidRDefault="007B78C1" w:rsidP="007B78C1">
            <w:pPr>
              <w:pStyle w:val="Para3"/>
              <w:numPr>
                <w:ilvl w:val="0"/>
                <w:numId w:val="0"/>
              </w:numPr>
              <w:spacing w:before="120" w:after="120" w:line="240" w:lineRule="auto"/>
              <w:ind w:left="360" w:hanging="360"/>
              <w:jc w:val="left"/>
              <w:rPr>
                <w:i/>
                <w:iCs/>
                <w:color w:val="auto"/>
                <w:sz w:val="24"/>
                <w:szCs w:val="24"/>
              </w:rPr>
            </w:pPr>
            <w:r w:rsidRPr="007B78C1">
              <w:rPr>
                <w:b/>
                <w:bCs/>
                <w:i/>
                <w:iCs/>
                <w:color w:val="auto"/>
                <w:sz w:val="24"/>
                <w:szCs w:val="24"/>
              </w:rPr>
              <w:t>Justification:</w:t>
            </w:r>
            <w:r w:rsidRPr="007B78C1">
              <w:rPr>
                <w:i/>
                <w:iCs/>
                <w:color w:val="auto"/>
                <w:sz w:val="24"/>
                <w:szCs w:val="24"/>
              </w:rPr>
              <w:t xml:space="preserve">  To ensure full transparency on the timeframe of the commitment, it is important to gain clarity on the duration of the commitment. </w:t>
            </w:r>
          </w:p>
          <w:p w14:paraId="6FE28F06" w14:textId="3FDE8141" w:rsidR="007B78C1" w:rsidRPr="007B78C1" w:rsidRDefault="007B78C1" w:rsidP="007B78C1">
            <w:pPr>
              <w:pStyle w:val="Para3"/>
              <w:numPr>
                <w:ilvl w:val="0"/>
                <w:numId w:val="0"/>
              </w:numPr>
              <w:spacing w:before="120" w:after="120" w:line="240" w:lineRule="auto"/>
              <w:ind w:left="360" w:hanging="360"/>
              <w:jc w:val="left"/>
              <w:rPr>
                <w:rFonts w:eastAsiaTheme="minorEastAsia"/>
                <w:b/>
                <w:bCs/>
                <w:color w:val="auto"/>
                <w:sz w:val="24"/>
                <w:szCs w:val="24"/>
              </w:rPr>
            </w:pPr>
          </w:p>
          <w:p w14:paraId="561175E0" w14:textId="79580AD8" w:rsidR="007B78C1" w:rsidRPr="007B78C1" w:rsidRDefault="007B78C1" w:rsidP="007B78C1">
            <w:pPr>
              <w:pStyle w:val="Para3"/>
              <w:numPr>
                <w:ilvl w:val="0"/>
                <w:numId w:val="0"/>
              </w:numPr>
              <w:spacing w:before="120" w:after="120"/>
              <w:jc w:val="left"/>
              <w:rPr>
                <w:color w:val="auto"/>
                <w:sz w:val="24"/>
                <w:szCs w:val="24"/>
              </w:rPr>
            </w:pPr>
            <w:r w:rsidRPr="007B78C1">
              <w:rPr>
                <w:b/>
                <w:color w:val="auto"/>
                <w:kern w:val="22"/>
                <w:sz w:val="24"/>
                <w:szCs w:val="24"/>
              </w:rPr>
              <w:t xml:space="preserve">15. Current text: </w:t>
            </w:r>
            <w:r w:rsidRPr="007B78C1">
              <w:rPr>
                <w:color w:val="auto"/>
                <w:sz w:val="24"/>
                <w:szCs w:val="24"/>
              </w:rPr>
              <w:t xml:space="preserve">17. Monitoring and reporting (indicate if monitoring arrangements are in place and the format, </w:t>
            </w:r>
            <w:proofErr w:type="gramStart"/>
            <w:r w:rsidRPr="007B78C1">
              <w:rPr>
                <w:color w:val="auto"/>
                <w:sz w:val="24"/>
                <w:szCs w:val="24"/>
              </w:rPr>
              <w:t>frequency</w:t>
            </w:r>
            <w:proofErr w:type="gramEnd"/>
            <w:r w:rsidRPr="007B78C1">
              <w:rPr>
                <w:color w:val="auto"/>
                <w:sz w:val="24"/>
                <w:szCs w:val="24"/>
              </w:rPr>
              <w:t xml:space="preserve"> and public availability of reporting).</w:t>
            </w:r>
          </w:p>
          <w:p w14:paraId="342D37C1" w14:textId="77777777" w:rsidR="007B78C1" w:rsidRPr="007B78C1" w:rsidRDefault="007B78C1" w:rsidP="007B78C1">
            <w:pPr>
              <w:pStyle w:val="Para3"/>
              <w:numPr>
                <w:ilvl w:val="0"/>
                <w:numId w:val="0"/>
              </w:numPr>
              <w:spacing w:before="120" w:after="120"/>
              <w:jc w:val="left"/>
              <w:rPr>
                <w:color w:val="auto"/>
                <w:sz w:val="24"/>
                <w:szCs w:val="24"/>
              </w:rPr>
            </w:pPr>
            <w:r w:rsidRPr="007B78C1">
              <w:rPr>
                <w:b/>
                <w:bCs/>
                <w:color w:val="auto"/>
                <w:sz w:val="24"/>
                <w:szCs w:val="24"/>
                <w:lang w:val="en-GB"/>
              </w:rPr>
              <w:t xml:space="preserve">Suggested amendment:  </w:t>
            </w:r>
            <w:r w:rsidRPr="007B78C1">
              <w:rPr>
                <w:color w:val="auto"/>
                <w:sz w:val="24"/>
                <w:szCs w:val="24"/>
              </w:rPr>
              <w:t xml:space="preserve">17. Monitoring and reporting. </w:t>
            </w:r>
            <w:r w:rsidRPr="007B78C1">
              <w:rPr>
                <w:color w:val="auto"/>
                <w:sz w:val="24"/>
                <w:szCs w:val="24"/>
                <w:u w:val="single"/>
              </w:rPr>
              <w:t>I</w:t>
            </w:r>
            <w:r w:rsidRPr="007B78C1">
              <w:rPr>
                <w:color w:val="auto"/>
                <w:sz w:val="24"/>
                <w:szCs w:val="24"/>
              </w:rPr>
              <w:t xml:space="preserve">ndicate: </w:t>
            </w:r>
          </w:p>
          <w:p w14:paraId="45C0B6D6" w14:textId="77777777" w:rsidR="007B78C1" w:rsidRPr="007B78C1" w:rsidRDefault="007B78C1" w:rsidP="007B78C1">
            <w:pPr>
              <w:pStyle w:val="Para3"/>
              <w:numPr>
                <w:ilvl w:val="0"/>
                <w:numId w:val="7"/>
              </w:numPr>
              <w:spacing w:before="120" w:after="120" w:line="240" w:lineRule="auto"/>
              <w:jc w:val="left"/>
              <w:rPr>
                <w:rFonts w:eastAsiaTheme="minorEastAsia"/>
                <w:color w:val="auto"/>
                <w:sz w:val="24"/>
                <w:szCs w:val="24"/>
              </w:rPr>
            </w:pPr>
            <w:r w:rsidRPr="007B78C1">
              <w:rPr>
                <w:color w:val="auto"/>
                <w:sz w:val="24"/>
                <w:szCs w:val="24"/>
              </w:rPr>
              <w:t>If monitoring arrangements are in place.</w:t>
            </w:r>
          </w:p>
          <w:p w14:paraId="4405DD02" w14:textId="0D3313C6" w:rsidR="007B78C1" w:rsidRPr="007B78C1" w:rsidRDefault="007B78C1" w:rsidP="007B78C1">
            <w:pPr>
              <w:suppressLineNumbers/>
              <w:suppressAutoHyphens/>
              <w:adjustRightInd w:val="0"/>
              <w:snapToGrid w:val="0"/>
              <w:rPr>
                <w:b/>
                <w:bCs/>
                <w:lang w:val="en-GB"/>
              </w:rPr>
            </w:pPr>
            <w:r w:rsidRPr="007B78C1">
              <w:t xml:space="preserve">The format, </w:t>
            </w:r>
            <w:proofErr w:type="gramStart"/>
            <w:r w:rsidRPr="007B78C1">
              <w:t>frequency</w:t>
            </w:r>
            <w:proofErr w:type="gramEnd"/>
            <w:r w:rsidRPr="007B78C1">
              <w:t xml:space="preserve"> and public availability of reporting </w:t>
            </w:r>
            <w:r w:rsidRPr="007B78C1">
              <w:rPr>
                <w:u w:val="single"/>
              </w:rPr>
              <w:t>publicly on both progress against interim and long-term targets, as well as the actions being taken, at least annually.</w:t>
            </w:r>
          </w:p>
          <w:p w14:paraId="3977CD25" w14:textId="4D85351D" w:rsidR="007B78C1" w:rsidRPr="007B78C1" w:rsidRDefault="007B78C1" w:rsidP="007B78C1">
            <w:pPr>
              <w:pStyle w:val="Para3"/>
              <w:numPr>
                <w:ilvl w:val="0"/>
                <w:numId w:val="0"/>
              </w:numPr>
              <w:spacing w:before="120" w:after="120" w:line="240" w:lineRule="auto"/>
              <w:ind w:left="360" w:hanging="360"/>
              <w:jc w:val="left"/>
              <w:rPr>
                <w:rFonts w:eastAsiaTheme="minorEastAsia"/>
                <w:b/>
                <w:bCs/>
                <w:color w:val="auto"/>
                <w:sz w:val="24"/>
                <w:szCs w:val="24"/>
              </w:rPr>
            </w:pPr>
          </w:p>
          <w:p w14:paraId="0A536D02" w14:textId="3D89A68A" w:rsidR="007B78C1" w:rsidRPr="007B78C1" w:rsidRDefault="007B78C1" w:rsidP="007B78C1">
            <w:pPr>
              <w:pStyle w:val="Para3"/>
              <w:numPr>
                <w:ilvl w:val="0"/>
                <w:numId w:val="0"/>
              </w:numPr>
              <w:spacing w:before="120" w:after="120" w:line="240" w:lineRule="auto"/>
              <w:ind w:left="360" w:hanging="360"/>
              <w:jc w:val="left"/>
              <w:rPr>
                <w:rFonts w:eastAsiaTheme="minorEastAsia"/>
                <w:b/>
                <w:bCs/>
                <w:color w:val="auto"/>
                <w:sz w:val="24"/>
                <w:szCs w:val="24"/>
              </w:rPr>
            </w:pPr>
            <w:r w:rsidRPr="007B78C1">
              <w:rPr>
                <w:b/>
                <w:bCs/>
                <w:i/>
                <w:iCs/>
                <w:color w:val="auto"/>
                <w:sz w:val="24"/>
                <w:szCs w:val="24"/>
              </w:rPr>
              <w:t>Justification:</w:t>
            </w:r>
            <w:r w:rsidRPr="007B78C1">
              <w:rPr>
                <w:i/>
                <w:iCs/>
                <w:color w:val="auto"/>
                <w:sz w:val="24"/>
                <w:szCs w:val="24"/>
              </w:rPr>
              <w:t xml:space="preserve">  In order to ensure appropriate disclosure, it is needed to make reporting publicly available, </w:t>
            </w:r>
            <w:proofErr w:type="gramStart"/>
            <w:r w:rsidRPr="007B78C1">
              <w:rPr>
                <w:i/>
                <w:iCs/>
                <w:color w:val="auto"/>
                <w:sz w:val="24"/>
                <w:szCs w:val="24"/>
              </w:rPr>
              <w:t>and also</w:t>
            </w:r>
            <w:proofErr w:type="gramEnd"/>
            <w:r w:rsidRPr="007B78C1">
              <w:rPr>
                <w:i/>
                <w:iCs/>
                <w:color w:val="auto"/>
                <w:sz w:val="24"/>
                <w:szCs w:val="24"/>
              </w:rPr>
              <w:t xml:space="preserve"> to ensure that reporting is both on progress as well as on actions taken.</w:t>
            </w:r>
          </w:p>
          <w:p w14:paraId="4AD8AC55" w14:textId="77777777" w:rsidR="007B78C1" w:rsidRPr="007B78C1" w:rsidRDefault="007B78C1" w:rsidP="007B78C1">
            <w:pPr>
              <w:pStyle w:val="Para3"/>
              <w:numPr>
                <w:ilvl w:val="0"/>
                <w:numId w:val="0"/>
              </w:numPr>
              <w:spacing w:before="120" w:after="120" w:line="240" w:lineRule="auto"/>
              <w:ind w:left="360" w:hanging="360"/>
              <w:jc w:val="left"/>
              <w:rPr>
                <w:rFonts w:eastAsiaTheme="minorEastAsia"/>
                <w:b/>
                <w:bCs/>
                <w:color w:val="auto"/>
                <w:sz w:val="24"/>
                <w:szCs w:val="24"/>
              </w:rPr>
            </w:pPr>
          </w:p>
          <w:p w14:paraId="036DFEE3" w14:textId="7E5AD987" w:rsidR="00011AD9" w:rsidRPr="007B78C1" w:rsidRDefault="00011AD9" w:rsidP="007B78C1">
            <w:pPr>
              <w:suppressLineNumbers/>
              <w:suppressAutoHyphens/>
              <w:adjustRightInd w:val="0"/>
              <w:snapToGrid w:val="0"/>
              <w:rPr>
                <w:bCs/>
                <w:kern w:val="22"/>
              </w:rPr>
            </w:pPr>
          </w:p>
          <w:p w14:paraId="24AE1F5D" w14:textId="53952395" w:rsidR="00BA327C" w:rsidRPr="007B78C1" w:rsidRDefault="00BA327C" w:rsidP="00BA327C">
            <w:pPr>
              <w:suppressLineNumbers/>
              <w:suppressAutoHyphens/>
              <w:adjustRightInd w:val="0"/>
              <w:snapToGrid w:val="0"/>
              <w:rPr>
                <w:kern w:val="22"/>
                <w:lang w:val="en-GB"/>
              </w:rPr>
            </w:pPr>
          </w:p>
        </w:tc>
      </w:tr>
    </w:tbl>
    <w:p w14:paraId="48DAF900" w14:textId="6E073AB4" w:rsidR="00B51493" w:rsidRPr="007B78C1" w:rsidRDefault="00B51493" w:rsidP="00D3167F">
      <w:pPr>
        <w:jc w:val="both"/>
      </w:pPr>
    </w:p>
    <w:sectPr w:rsidR="00B51493" w:rsidRPr="007B78C1" w:rsidSect="00AE7B5B">
      <w:pgSz w:w="12240" w:h="15840"/>
      <w:pgMar w:top="90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E303" w14:textId="77777777" w:rsidR="00EA30AB" w:rsidRDefault="00EA30AB" w:rsidP="00AE7B5B">
      <w:r>
        <w:separator/>
      </w:r>
    </w:p>
  </w:endnote>
  <w:endnote w:type="continuationSeparator" w:id="0">
    <w:p w14:paraId="7BBE7D8C" w14:textId="77777777" w:rsidR="00EA30AB" w:rsidRDefault="00EA30AB" w:rsidP="00AE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panose1 w:val="020B0600040502020204"/>
    <w:charset w:val="00"/>
    <w:family w:val="auto"/>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C4623" w14:textId="77777777" w:rsidR="00EA30AB" w:rsidRDefault="00EA30AB" w:rsidP="00AE7B5B">
      <w:r>
        <w:separator/>
      </w:r>
    </w:p>
  </w:footnote>
  <w:footnote w:type="continuationSeparator" w:id="0">
    <w:p w14:paraId="38CB61A4" w14:textId="77777777" w:rsidR="00EA30AB" w:rsidRDefault="00EA30AB" w:rsidP="00AE7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45887"/>
    <w:multiLevelType w:val="hybridMultilevel"/>
    <w:tmpl w:val="FFFFFFFF"/>
    <w:lvl w:ilvl="0" w:tplc="1054E6D4">
      <w:start w:val="1"/>
      <w:numFmt w:val="lowerLetter"/>
      <w:lvlText w:val="%1."/>
      <w:lvlJc w:val="left"/>
      <w:pPr>
        <w:ind w:left="720" w:hanging="360"/>
      </w:pPr>
    </w:lvl>
    <w:lvl w:ilvl="1" w:tplc="CFD83DE2">
      <w:start w:val="1"/>
      <w:numFmt w:val="lowerLetter"/>
      <w:lvlText w:val="%2."/>
      <w:lvlJc w:val="left"/>
      <w:pPr>
        <w:ind w:left="1440" w:hanging="360"/>
      </w:pPr>
    </w:lvl>
    <w:lvl w:ilvl="2" w:tplc="8188C918">
      <w:start w:val="1"/>
      <w:numFmt w:val="lowerRoman"/>
      <w:lvlText w:val="%3."/>
      <w:lvlJc w:val="right"/>
      <w:pPr>
        <w:ind w:left="2160" w:hanging="180"/>
      </w:pPr>
    </w:lvl>
    <w:lvl w:ilvl="3" w:tplc="360484C4">
      <w:start w:val="1"/>
      <w:numFmt w:val="decimal"/>
      <w:lvlText w:val="%4."/>
      <w:lvlJc w:val="left"/>
      <w:pPr>
        <w:ind w:left="2880" w:hanging="360"/>
      </w:pPr>
    </w:lvl>
    <w:lvl w:ilvl="4" w:tplc="D0B07880">
      <w:start w:val="1"/>
      <w:numFmt w:val="lowerLetter"/>
      <w:lvlText w:val="%5."/>
      <w:lvlJc w:val="left"/>
      <w:pPr>
        <w:ind w:left="3600" w:hanging="360"/>
      </w:pPr>
    </w:lvl>
    <w:lvl w:ilvl="5" w:tplc="4686F7A2">
      <w:start w:val="1"/>
      <w:numFmt w:val="lowerRoman"/>
      <w:lvlText w:val="%6."/>
      <w:lvlJc w:val="right"/>
      <w:pPr>
        <w:ind w:left="4320" w:hanging="180"/>
      </w:pPr>
    </w:lvl>
    <w:lvl w:ilvl="6" w:tplc="947CFA76">
      <w:start w:val="1"/>
      <w:numFmt w:val="decimal"/>
      <w:lvlText w:val="%7."/>
      <w:lvlJc w:val="left"/>
      <w:pPr>
        <w:ind w:left="5040" w:hanging="360"/>
      </w:pPr>
    </w:lvl>
    <w:lvl w:ilvl="7" w:tplc="3476F0B6">
      <w:start w:val="1"/>
      <w:numFmt w:val="lowerLetter"/>
      <w:lvlText w:val="%8."/>
      <w:lvlJc w:val="left"/>
      <w:pPr>
        <w:ind w:left="5760" w:hanging="360"/>
      </w:pPr>
    </w:lvl>
    <w:lvl w:ilvl="8" w:tplc="2D3845BC">
      <w:start w:val="1"/>
      <w:numFmt w:val="lowerRoman"/>
      <w:lvlText w:val="%9."/>
      <w:lvlJc w:val="right"/>
      <w:pPr>
        <w:ind w:left="6480" w:hanging="180"/>
      </w:pPr>
    </w:lvl>
  </w:abstractNum>
  <w:abstractNum w:abstractNumId="1" w15:restartNumberingAfterBreak="0">
    <w:nsid w:val="262E6C32"/>
    <w:multiLevelType w:val="hybridMultilevel"/>
    <w:tmpl w:val="6292E6B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9CE4DE2"/>
    <w:multiLevelType w:val="hybridMultilevel"/>
    <w:tmpl w:val="FFFFFFFF"/>
    <w:lvl w:ilvl="0" w:tplc="5A1655E2">
      <w:start w:val="1"/>
      <w:numFmt w:val="lowerLetter"/>
      <w:lvlText w:val="%1."/>
      <w:lvlJc w:val="left"/>
      <w:pPr>
        <w:ind w:left="720" w:hanging="360"/>
      </w:pPr>
    </w:lvl>
    <w:lvl w:ilvl="1" w:tplc="24F2BCBC">
      <w:start w:val="1"/>
      <w:numFmt w:val="lowerLetter"/>
      <w:lvlText w:val="%2."/>
      <w:lvlJc w:val="left"/>
      <w:pPr>
        <w:ind w:left="1440" w:hanging="360"/>
      </w:pPr>
    </w:lvl>
    <w:lvl w:ilvl="2" w:tplc="2B667274">
      <w:start w:val="1"/>
      <w:numFmt w:val="lowerRoman"/>
      <w:lvlText w:val="%3."/>
      <w:lvlJc w:val="right"/>
      <w:pPr>
        <w:ind w:left="2160" w:hanging="180"/>
      </w:pPr>
    </w:lvl>
    <w:lvl w:ilvl="3" w:tplc="5BBA537E">
      <w:start w:val="1"/>
      <w:numFmt w:val="decimal"/>
      <w:lvlText w:val="%4."/>
      <w:lvlJc w:val="left"/>
      <w:pPr>
        <w:ind w:left="2880" w:hanging="360"/>
      </w:pPr>
    </w:lvl>
    <w:lvl w:ilvl="4" w:tplc="95E2831C">
      <w:start w:val="1"/>
      <w:numFmt w:val="lowerLetter"/>
      <w:lvlText w:val="%5."/>
      <w:lvlJc w:val="left"/>
      <w:pPr>
        <w:ind w:left="3600" w:hanging="360"/>
      </w:pPr>
    </w:lvl>
    <w:lvl w:ilvl="5" w:tplc="64F45074">
      <w:start w:val="1"/>
      <w:numFmt w:val="lowerRoman"/>
      <w:lvlText w:val="%6."/>
      <w:lvlJc w:val="right"/>
      <w:pPr>
        <w:ind w:left="4320" w:hanging="180"/>
      </w:pPr>
    </w:lvl>
    <w:lvl w:ilvl="6" w:tplc="0458DFAE">
      <w:start w:val="1"/>
      <w:numFmt w:val="decimal"/>
      <w:lvlText w:val="%7."/>
      <w:lvlJc w:val="left"/>
      <w:pPr>
        <w:ind w:left="5040" w:hanging="360"/>
      </w:pPr>
    </w:lvl>
    <w:lvl w:ilvl="7" w:tplc="A0EAAF9A">
      <w:start w:val="1"/>
      <w:numFmt w:val="lowerLetter"/>
      <w:lvlText w:val="%8."/>
      <w:lvlJc w:val="left"/>
      <w:pPr>
        <w:ind w:left="5760" w:hanging="360"/>
      </w:pPr>
    </w:lvl>
    <w:lvl w:ilvl="8" w:tplc="47FCE6E8">
      <w:start w:val="1"/>
      <w:numFmt w:val="lowerRoman"/>
      <w:lvlText w:val="%9."/>
      <w:lvlJc w:val="right"/>
      <w:pPr>
        <w:ind w:left="6480" w:hanging="180"/>
      </w:pPr>
    </w:lvl>
  </w:abstractNum>
  <w:abstractNum w:abstractNumId="3" w15:restartNumberingAfterBreak="0">
    <w:nsid w:val="4688184D"/>
    <w:multiLevelType w:val="hybridMultilevel"/>
    <w:tmpl w:val="65ACF9EC"/>
    <w:lvl w:ilvl="0" w:tplc="2000000F">
      <w:start w:val="1"/>
      <w:numFmt w:val="decimal"/>
      <w:lvlText w:val="%1."/>
      <w:lvlJc w:val="left"/>
      <w:pPr>
        <w:ind w:left="720" w:hanging="360"/>
      </w:pPr>
      <w:rPr>
        <w:rFonts w:hint="default"/>
      </w:rPr>
    </w:lvl>
    <w:lvl w:ilvl="1" w:tplc="7A66F754">
      <w:start w:val="1"/>
      <w:numFmt w:val="bullet"/>
      <w:lvlText w:val="o"/>
      <w:lvlJc w:val="left"/>
      <w:pPr>
        <w:ind w:left="1440" w:hanging="360"/>
      </w:pPr>
      <w:rPr>
        <w:rFonts w:ascii="Courier New" w:hAnsi="Courier New" w:hint="default"/>
      </w:rPr>
    </w:lvl>
    <w:lvl w:ilvl="2" w:tplc="DE4CB884">
      <w:start w:val="1"/>
      <w:numFmt w:val="bullet"/>
      <w:lvlText w:val=""/>
      <w:lvlJc w:val="left"/>
      <w:pPr>
        <w:ind w:left="2160" w:hanging="360"/>
      </w:pPr>
      <w:rPr>
        <w:rFonts w:ascii="Wingdings" w:hAnsi="Wingdings" w:hint="default"/>
      </w:rPr>
    </w:lvl>
    <w:lvl w:ilvl="3" w:tplc="3438D8E8">
      <w:start w:val="1"/>
      <w:numFmt w:val="bullet"/>
      <w:lvlText w:val=""/>
      <w:lvlJc w:val="left"/>
      <w:pPr>
        <w:ind w:left="2880" w:hanging="360"/>
      </w:pPr>
      <w:rPr>
        <w:rFonts w:ascii="Symbol" w:hAnsi="Symbol" w:hint="default"/>
      </w:rPr>
    </w:lvl>
    <w:lvl w:ilvl="4" w:tplc="DE424732">
      <w:start w:val="1"/>
      <w:numFmt w:val="bullet"/>
      <w:lvlText w:val="o"/>
      <w:lvlJc w:val="left"/>
      <w:pPr>
        <w:ind w:left="3600" w:hanging="360"/>
      </w:pPr>
      <w:rPr>
        <w:rFonts w:ascii="Courier New" w:hAnsi="Courier New" w:hint="default"/>
      </w:rPr>
    </w:lvl>
    <w:lvl w:ilvl="5" w:tplc="CE4CCF50">
      <w:start w:val="1"/>
      <w:numFmt w:val="bullet"/>
      <w:lvlText w:val=""/>
      <w:lvlJc w:val="left"/>
      <w:pPr>
        <w:ind w:left="4320" w:hanging="360"/>
      </w:pPr>
      <w:rPr>
        <w:rFonts w:ascii="Wingdings" w:hAnsi="Wingdings" w:hint="default"/>
      </w:rPr>
    </w:lvl>
    <w:lvl w:ilvl="6" w:tplc="C966D0EE">
      <w:start w:val="1"/>
      <w:numFmt w:val="bullet"/>
      <w:lvlText w:val=""/>
      <w:lvlJc w:val="left"/>
      <w:pPr>
        <w:ind w:left="5040" w:hanging="360"/>
      </w:pPr>
      <w:rPr>
        <w:rFonts w:ascii="Symbol" w:hAnsi="Symbol" w:hint="default"/>
      </w:rPr>
    </w:lvl>
    <w:lvl w:ilvl="7" w:tplc="C098FD1A">
      <w:start w:val="1"/>
      <w:numFmt w:val="bullet"/>
      <w:lvlText w:val="o"/>
      <w:lvlJc w:val="left"/>
      <w:pPr>
        <w:ind w:left="5760" w:hanging="360"/>
      </w:pPr>
      <w:rPr>
        <w:rFonts w:ascii="Courier New" w:hAnsi="Courier New" w:hint="default"/>
      </w:rPr>
    </w:lvl>
    <w:lvl w:ilvl="8" w:tplc="7DE8AEB6">
      <w:start w:val="1"/>
      <w:numFmt w:val="bullet"/>
      <w:lvlText w:val=""/>
      <w:lvlJc w:val="left"/>
      <w:pPr>
        <w:ind w:left="6480" w:hanging="360"/>
      </w:pPr>
      <w:rPr>
        <w:rFonts w:ascii="Wingdings" w:hAnsi="Wingdings" w:hint="default"/>
      </w:rPr>
    </w:lvl>
  </w:abstractNum>
  <w:abstractNum w:abstractNumId="4" w15:restartNumberingAfterBreak="0">
    <w:nsid w:val="46AC6CAA"/>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11C19EB"/>
    <w:multiLevelType w:val="multilevel"/>
    <w:tmpl w:val="FFFFFFFF"/>
    <w:lvl w:ilvl="0">
      <w:start w:val="1"/>
      <w:numFmt w:val="decimal"/>
      <w:pStyle w:val="Para3"/>
      <w:lvlText w:val="%1."/>
      <w:lvlJc w:val="left"/>
      <w:pPr>
        <w:ind w:left="360" w:hanging="360"/>
      </w:pPr>
    </w:lvl>
    <w:lvl w:ilvl="1">
      <w:start w:val="1"/>
      <w:numFmt w:val="lowerLetter"/>
      <w:lvlText w:val="%2."/>
      <w:lvlJc w:val="left"/>
      <w:pPr>
        <w:ind w:left="1080" w:hanging="360"/>
      </w:pPr>
    </w:lvl>
    <w:lvl w:ilvl="2">
      <w:start w:val="1"/>
      <w:numFmt w:val="decimal"/>
      <w:lvlText w:val="%1."/>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2B42CC3"/>
    <w:multiLevelType w:val="hybridMultilevel"/>
    <w:tmpl w:val="FFFFFFFF"/>
    <w:lvl w:ilvl="0" w:tplc="E2B0105C">
      <w:start w:val="1"/>
      <w:numFmt w:val="lowerLetter"/>
      <w:lvlText w:val="%1."/>
      <w:lvlJc w:val="left"/>
      <w:pPr>
        <w:ind w:left="720" w:hanging="360"/>
      </w:pPr>
    </w:lvl>
    <w:lvl w:ilvl="1" w:tplc="F7946EBC">
      <w:start w:val="1"/>
      <w:numFmt w:val="lowerLetter"/>
      <w:lvlText w:val="%2."/>
      <w:lvlJc w:val="left"/>
      <w:pPr>
        <w:ind w:left="1440" w:hanging="360"/>
      </w:pPr>
    </w:lvl>
    <w:lvl w:ilvl="2" w:tplc="895ADA86">
      <w:start w:val="1"/>
      <w:numFmt w:val="lowerRoman"/>
      <w:lvlText w:val="%3."/>
      <w:lvlJc w:val="right"/>
      <w:pPr>
        <w:ind w:left="2160" w:hanging="180"/>
      </w:pPr>
    </w:lvl>
    <w:lvl w:ilvl="3" w:tplc="07464F60">
      <w:start w:val="1"/>
      <w:numFmt w:val="decimal"/>
      <w:lvlText w:val="%4."/>
      <w:lvlJc w:val="left"/>
      <w:pPr>
        <w:ind w:left="2880" w:hanging="360"/>
      </w:pPr>
    </w:lvl>
    <w:lvl w:ilvl="4" w:tplc="86AE3468">
      <w:start w:val="1"/>
      <w:numFmt w:val="lowerLetter"/>
      <w:lvlText w:val="%5."/>
      <w:lvlJc w:val="left"/>
      <w:pPr>
        <w:ind w:left="3600" w:hanging="360"/>
      </w:pPr>
    </w:lvl>
    <w:lvl w:ilvl="5" w:tplc="D5104918">
      <w:start w:val="1"/>
      <w:numFmt w:val="lowerRoman"/>
      <w:lvlText w:val="%6."/>
      <w:lvlJc w:val="right"/>
      <w:pPr>
        <w:ind w:left="4320" w:hanging="180"/>
      </w:pPr>
    </w:lvl>
    <w:lvl w:ilvl="6" w:tplc="A17C8FE8">
      <w:start w:val="1"/>
      <w:numFmt w:val="decimal"/>
      <w:lvlText w:val="%7."/>
      <w:lvlJc w:val="left"/>
      <w:pPr>
        <w:ind w:left="5040" w:hanging="360"/>
      </w:pPr>
    </w:lvl>
    <w:lvl w:ilvl="7" w:tplc="273CAF04">
      <w:start w:val="1"/>
      <w:numFmt w:val="lowerLetter"/>
      <w:lvlText w:val="%8."/>
      <w:lvlJc w:val="left"/>
      <w:pPr>
        <w:ind w:left="5760" w:hanging="360"/>
      </w:pPr>
    </w:lvl>
    <w:lvl w:ilvl="8" w:tplc="D108DFC0">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CA"/>
    <w:rsid w:val="00011AD9"/>
    <w:rsid w:val="000B252D"/>
    <w:rsid w:val="00127865"/>
    <w:rsid w:val="00130A14"/>
    <w:rsid w:val="0016656C"/>
    <w:rsid w:val="00197790"/>
    <w:rsid w:val="001D584A"/>
    <w:rsid w:val="00236608"/>
    <w:rsid w:val="00272333"/>
    <w:rsid w:val="002C4913"/>
    <w:rsid w:val="002F4F7C"/>
    <w:rsid w:val="002F7B9E"/>
    <w:rsid w:val="00385D8C"/>
    <w:rsid w:val="00414EDF"/>
    <w:rsid w:val="00466D27"/>
    <w:rsid w:val="004A0846"/>
    <w:rsid w:val="0053632F"/>
    <w:rsid w:val="005558F7"/>
    <w:rsid w:val="005E4E26"/>
    <w:rsid w:val="00647F74"/>
    <w:rsid w:val="006A6E1A"/>
    <w:rsid w:val="006C085B"/>
    <w:rsid w:val="00757EBE"/>
    <w:rsid w:val="0077704D"/>
    <w:rsid w:val="007850A4"/>
    <w:rsid w:val="007B78C1"/>
    <w:rsid w:val="008A6047"/>
    <w:rsid w:val="008C4D9D"/>
    <w:rsid w:val="008D7856"/>
    <w:rsid w:val="008E7015"/>
    <w:rsid w:val="00936DB5"/>
    <w:rsid w:val="009A6B72"/>
    <w:rsid w:val="009C30DA"/>
    <w:rsid w:val="00A84C53"/>
    <w:rsid w:val="00AE7B5B"/>
    <w:rsid w:val="00AF4AD0"/>
    <w:rsid w:val="00B51493"/>
    <w:rsid w:val="00B66111"/>
    <w:rsid w:val="00BA327C"/>
    <w:rsid w:val="00CB02B6"/>
    <w:rsid w:val="00D3167F"/>
    <w:rsid w:val="00D72DC5"/>
    <w:rsid w:val="00D779BA"/>
    <w:rsid w:val="00D93CCA"/>
    <w:rsid w:val="00D93F3A"/>
    <w:rsid w:val="00DC44E4"/>
    <w:rsid w:val="00DC6EF5"/>
    <w:rsid w:val="00E2476B"/>
    <w:rsid w:val="00EA30AB"/>
    <w:rsid w:val="00F122C1"/>
    <w:rsid w:val="00FF1E0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34FB3F"/>
  <w15:docId w15:val="{296C593C-F5D0-465E-9446-48D261B2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B5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character" w:styleId="CommentReference">
    <w:name w:val="annotation reference"/>
    <w:basedOn w:val="DefaultParagraphFont"/>
    <w:uiPriority w:val="99"/>
    <w:semiHidden/>
    <w:unhideWhenUsed/>
    <w:rsid w:val="002F7B9E"/>
    <w:rPr>
      <w:sz w:val="16"/>
      <w:szCs w:val="16"/>
    </w:rPr>
  </w:style>
  <w:style w:type="paragraph" w:styleId="ListParagraph">
    <w:name w:val="List Paragraph"/>
    <w:basedOn w:val="Normal"/>
    <w:link w:val="ListParagraphChar"/>
    <w:uiPriority w:val="34"/>
    <w:qFormat/>
    <w:rsid w:val="007850A4"/>
    <w:pPr>
      <w:ind w:left="720"/>
      <w:contextualSpacing/>
    </w:pPr>
  </w:style>
  <w:style w:type="table" w:styleId="TableGrid">
    <w:name w:val="Table Grid"/>
    <w:basedOn w:val="TableNormal"/>
    <w:uiPriority w:val="59"/>
    <w:rsid w:val="00F122C1"/>
    <w:pPr>
      <w:spacing w:after="0" w:line="240" w:lineRule="auto"/>
    </w:pPr>
    <w:rPr>
      <w:rFonts w:eastAsiaTheme="minorEastAsia"/>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F122C1"/>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D7856"/>
  </w:style>
  <w:style w:type="character" w:customStyle="1" w:styleId="eop">
    <w:name w:val="eop"/>
    <w:basedOn w:val="DefaultParagraphFont"/>
    <w:rsid w:val="008D7856"/>
  </w:style>
  <w:style w:type="paragraph" w:customStyle="1" w:styleId="Para3">
    <w:name w:val="Para3"/>
    <w:basedOn w:val="Normal"/>
    <w:uiPriority w:val="1"/>
    <w:rsid w:val="008D7856"/>
    <w:pPr>
      <w:numPr>
        <w:numId w:val="3"/>
      </w:numPr>
      <w:tabs>
        <w:tab w:val="left" w:pos="1980"/>
        <w:tab w:val="num" w:pos="1440"/>
      </w:tabs>
      <w:spacing w:before="80" w:after="80" w:line="259" w:lineRule="auto"/>
      <w:jc w:val="both"/>
    </w:pPr>
    <w:rPr>
      <w:color w:val="46474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bd.int/action-agenda/criteria.shtml" TargetMode="External"/><Relationship Id="rId5" Type="http://schemas.openxmlformats.org/officeDocument/2006/relationships/styles" Target="styles.xml"/><Relationship Id="rId10" Type="http://schemas.openxmlformats.org/officeDocument/2006/relationships/hyperlink" Target="http://www.businessfornature.org/commi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AB39C7BF8129409E35E1A2BD36FAE3" ma:contentTypeVersion="15" ma:contentTypeDescription="Create a new document." ma:contentTypeScope="" ma:versionID="0788699cf18897a5e41c218f12a269a3">
  <xsd:schema xmlns:xsd="http://www.w3.org/2001/XMLSchema" xmlns:xs="http://www.w3.org/2001/XMLSchema" xmlns:p="http://schemas.microsoft.com/office/2006/metadata/properties" xmlns:ns1="http://schemas.microsoft.com/sharepoint/v3" xmlns:ns2="1a6c3ba5-91af-4e1c-8bc1-bdfde5222f28" xmlns:ns3="47f715d3-37da-4566-bb37-66b229f50751" targetNamespace="http://schemas.microsoft.com/office/2006/metadata/properties" ma:root="true" ma:fieldsID="827f84055decac1a64baa0fa98bd98ee" ns1:_="" ns2:_="" ns3:_="">
    <xsd:import namespace="http://schemas.microsoft.com/sharepoint/v3"/>
    <xsd:import namespace="1a6c3ba5-91af-4e1c-8bc1-bdfde5222f28"/>
    <xsd:import namespace="47f715d3-37da-4566-bb37-66b229f507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6c3ba5-91af-4e1c-8bc1-bdfde5222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f715d3-37da-4566-bb37-66b229f5075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1CFF0-BE85-4919-A6B7-75A7A0F749FD}">
  <ds:schemaRefs>
    <ds:schemaRef ds:uri="http://schemas.microsoft.com/sharepoint/v3/contenttype/forms"/>
  </ds:schemaRefs>
</ds:datastoreItem>
</file>

<file path=customXml/itemProps2.xml><?xml version="1.0" encoding="utf-8"?>
<ds:datastoreItem xmlns:ds="http://schemas.openxmlformats.org/officeDocument/2006/customXml" ds:itemID="{2C1CAA0A-F0EC-4DC4-A283-111ABFC00F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F7E6B21-B32C-4CD9-A624-3BCEB1050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6c3ba5-91af-4e1c-8bc1-bdfde5222f28"/>
    <ds:schemaRef ds:uri="47f715d3-37da-4566-bb37-66b229f50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Noonan Mooney</dc:creator>
  <cp:keywords/>
  <dc:description/>
  <cp:lastModifiedBy>Constanza Torres</cp:lastModifiedBy>
  <cp:revision>2</cp:revision>
  <dcterms:created xsi:type="dcterms:W3CDTF">2022-02-24T17:09:00Z</dcterms:created>
  <dcterms:modified xsi:type="dcterms:W3CDTF">2022-02-24T17:09:00Z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0x0101007BAB39C7BF8129409E35E1A2BD36FAE3</vt:lpwstr>
  </property>
</Properties>
</file>